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DC" w:rsidRPr="00B35ADC" w:rsidRDefault="00B35ADC" w:rsidP="00283560">
      <w:pPr>
        <w:shd w:val="clear" w:color="auto" w:fill="FFFFFF"/>
        <w:spacing w:after="0" w:line="384" w:lineRule="atLeast"/>
        <w:rPr>
          <w:rFonts w:ascii="Arial" w:eastAsia="Times New Roman" w:hAnsi="Arial" w:cs="Arial"/>
          <w:b/>
          <w:i/>
          <w:color w:val="000000"/>
          <w:sz w:val="24"/>
          <w:szCs w:val="24"/>
          <w:lang w:eastAsia="en-GB"/>
        </w:rPr>
      </w:pPr>
      <w:r>
        <w:rPr>
          <w:rFonts w:ascii="Arial" w:eastAsia="Times New Roman" w:hAnsi="Arial" w:cs="Arial"/>
          <w:b/>
          <w:i/>
          <w:color w:val="000000"/>
          <w:sz w:val="24"/>
          <w:szCs w:val="24"/>
          <w:lang w:eastAsia="en-GB"/>
        </w:rPr>
        <w:t>‘Sustaining Community – University Partnerships’</w:t>
      </w:r>
    </w:p>
    <w:p w:rsidR="00B35ADC" w:rsidRDefault="00B35ADC" w:rsidP="00283560">
      <w:pPr>
        <w:shd w:val="clear" w:color="auto" w:fill="FFFFFF"/>
        <w:spacing w:after="0" w:line="384" w:lineRule="atLeast"/>
        <w:rPr>
          <w:rFonts w:ascii="Arial" w:eastAsia="Times New Roman" w:hAnsi="Arial" w:cs="Arial"/>
          <w:b/>
          <w:color w:val="000000"/>
          <w:sz w:val="24"/>
          <w:szCs w:val="24"/>
          <w:lang w:eastAsia="en-GB"/>
        </w:rPr>
      </w:pPr>
    </w:p>
    <w:p w:rsidR="00314415" w:rsidRPr="00314415" w:rsidRDefault="00515979" w:rsidP="00283560">
      <w:pPr>
        <w:shd w:val="clear" w:color="auto" w:fill="FFFFFF"/>
        <w:spacing w:after="0" w:line="384" w:lineRule="atLeas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University of Brighton Community University Partnership Programme (CUPP)</w:t>
      </w:r>
    </w:p>
    <w:p w:rsidR="00283560" w:rsidRPr="00314415" w:rsidRDefault="00314415" w:rsidP="00283560">
      <w:pPr>
        <w:shd w:val="clear" w:color="auto" w:fill="FFFFFF"/>
        <w:spacing w:after="0" w:line="384" w:lineRule="atLeast"/>
        <w:rPr>
          <w:rFonts w:ascii="Arial" w:eastAsia="Times New Roman" w:hAnsi="Arial" w:cs="Arial"/>
          <w:b/>
          <w:color w:val="000000"/>
          <w:sz w:val="24"/>
          <w:szCs w:val="24"/>
          <w:lang w:eastAsia="en-GB"/>
        </w:rPr>
      </w:pPr>
      <w:r w:rsidRPr="00314415">
        <w:rPr>
          <w:rFonts w:ascii="Arial" w:eastAsia="Times New Roman" w:hAnsi="Arial" w:cs="Arial"/>
          <w:b/>
          <w:color w:val="000000"/>
          <w:sz w:val="24"/>
          <w:szCs w:val="24"/>
          <w:lang w:eastAsia="en-GB"/>
        </w:rPr>
        <w:t xml:space="preserve">Call for papers for a special edition of Gateways: </w:t>
      </w:r>
      <w:r>
        <w:rPr>
          <w:rFonts w:ascii="Arial" w:eastAsia="Times New Roman" w:hAnsi="Arial" w:cs="Arial"/>
          <w:b/>
          <w:color w:val="000000"/>
          <w:sz w:val="24"/>
          <w:szCs w:val="24"/>
          <w:lang w:eastAsia="en-GB"/>
        </w:rPr>
        <w:t>I</w:t>
      </w:r>
      <w:r w:rsidRPr="00314415">
        <w:rPr>
          <w:rFonts w:ascii="Arial" w:eastAsia="Times New Roman" w:hAnsi="Arial" w:cs="Arial"/>
          <w:b/>
          <w:color w:val="000000"/>
          <w:sz w:val="24"/>
          <w:szCs w:val="24"/>
          <w:lang w:eastAsia="en-GB"/>
        </w:rPr>
        <w:t xml:space="preserve">nternational </w:t>
      </w:r>
      <w:r>
        <w:rPr>
          <w:rFonts w:ascii="Arial" w:eastAsia="Times New Roman" w:hAnsi="Arial" w:cs="Arial"/>
          <w:b/>
          <w:color w:val="000000"/>
          <w:sz w:val="24"/>
          <w:szCs w:val="24"/>
          <w:lang w:eastAsia="en-GB"/>
        </w:rPr>
        <w:t xml:space="preserve">Journal of </w:t>
      </w:r>
      <w:r w:rsidR="002D424F">
        <w:rPr>
          <w:rFonts w:ascii="Arial" w:eastAsia="Times New Roman" w:hAnsi="Arial" w:cs="Arial"/>
          <w:b/>
          <w:color w:val="000000"/>
          <w:sz w:val="24"/>
          <w:szCs w:val="24"/>
          <w:lang w:eastAsia="en-GB"/>
        </w:rPr>
        <w:t xml:space="preserve">Community </w:t>
      </w:r>
      <w:r>
        <w:rPr>
          <w:rFonts w:ascii="Arial" w:eastAsia="Times New Roman" w:hAnsi="Arial" w:cs="Arial"/>
          <w:b/>
          <w:color w:val="000000"/>
          <w:sz w:val="24"/>
          <w:szCs w:val="24"/>
          <w:lang w:eastAsia="en-GB"/>
        </w:rPr>
        <w:t>Research and E</w:t>
      </w:r>
      <w:r w:rsidR="00B35ADC">
        <w:rPr>
          <w:rFonts w:ascii="Arial" w:eastAsia="Times New Roman" w:hAnsi="Arial" w:cs="Arial"/>
          <w:b/>
          <w:color w:val="000000"/>
          <w:sz w:val="24"/>
          <w:szCs w:val="24"/>
          <w:lang w:eastAsia="en-GB"/>
        </w:rPr>
        <w:t>ngagement</w:t>
      </w:r>
    </w:p>
    <w:p w:rsidR="00314415" w:rsidRDefault="00314415" w:rsidP="00283560">
      <w:pPr>
        <w:shd w:val="clear" w:color="auto" w:fill="FFFFFF"/>
        <w:spacing w:after="0" w:line="360" w:lineRule="auto"/>
        <w:rPr>
          <w:rFonts w:ascii="Arial" w:eastAsia="Times New Roman" w:hAnsi="Arial" w:cs="Arial"/>
          <w:color w:val="000000"/>
          <w:sz w:val="20"/>
          <w:szCs w:val="20"/>
          <w:lang w:eastAsia="en-GB"/>
        </w:rPr>
      </w:pPr>
    </w:p>
    <w:p w:rsidR="0033110F" w:rsidRDefault="0033110F" w:rsidP="00515979">
      <w:pPr>
        <w:shd w:val="clear" w:color="auto" w:fill="FFFFFF"/>
        <w:spacing w:after="60" w:line="360" w:lineRule="auto"/>
        <w:ind w:right="240"/>
        <w:outlineLvl w:val="3"/>
        <w:rPr>
          <w:rFonts w:ascii="Arial" w:hAnsi="Arial" w:cs="Arial"/>
          <w:color w:val="000000"/>
          <w:sz w:val="20"/>
          <w:szCs w:val="20"/>
        </w:rPr>
      </w:pPr>
    </w:p>
    <w:p w:rsidR="004F61E2" w:rsidRDefault="00515979" w:rsidP="004F61E2">
      <w:pPr>
        <w:shd w:val="clear" w:color="auto" w:fill="FFFFFF"/>
        <w:spacing w:after="60" w:line="360" w:lineRule="auto"/>
        <w:ind w:right="240"/>
        <w:outlineLvl w:val="3"/>
        <w:rPr>
          <w:rFonts w:ascii="Arial" w:hAnsi="Arial" w:cs="Arial"/>
          <w:color w:val="000000"/>
          <w:sz w:val="20"/>
          <w:szCs w:val="20"/>
        </w:rPr>
      </w:pPr>
      <w:r>
        <w:rPr>
          <w:rFonts w:ascii="Arial" w:hAnsi="Arial" w:cs="Arial"/>
          <w:color w:val="000000"/>
          <w:sz w:val="20"/>
          <w:szCs w:val="20"/>
        </w:rPr>
        <w:t>CUPP is working with Gateways to publish a special edition of the journal edited by Angie Hart and Simon Northmore</w:t>
      </w:r>
      <w:r>
        <w:rPr>
          <w:rStyle w:val="FootnoteReference"/>
          <w:rFonts w:ascii="Arial" w:hAnsi="Arial" w:cs="Arial"/>
          <w:color w:val="000000"/>
          <w:sz w:val="20"/>
          <w:szCs w:val="20"/>
        </w:rPr>
        <w:footnoteReference w:id="1"/>
      </w:r>
      <w:r>
        <w:rPr>
          <w:rFonts w:ascii="Arial" w:hAnsi="Arial" w:cs="Arial"/>
          <w:color w:val="000000"/>
          <w:sz w:val="20"/>
          <w:szCs w:val="20"/>
        </w:rPr>
        <w:t xml:space="preserve">. This special edition will have the theme of </w:t>
      </w:r>
      <w:r w:rsidRPr="00C13AFF">
        <w:rPr>
          <w:rFonts w:ascii="Arial" w:hAnsi="Arial" w:cs="Arial"/>
          <w:i/>
          <w:color w:val="000000"/>
          <w:sz w:val="20"/>
          <w:szCs w:val="20"/>
        </w:rPr>
        <w:t>‘Sustaining Community -</w:t>
      </w:r>
      <w:r>
        <w:rPr>
          <w:rFonts w:ascii="Arial" w:hAnsi="Arial" w:cs="Arial"/>
          <w:i/>
          <w:color w:val="000000"/>
          <w:sz w:val="20"/>
          <w:szCs w:val="20"/>
        </w:rPr>
        <w:t xml:space="preserve"> </w:t>
      </w:r>
      <w:r w:rsidRPr="00C13AFF">
        <w:rPr>
          <w:rFonts w:ascii="Arial" w:hAnsi="Arial" w:cs="Arial"/>
          <w:i/>
          <w:color w:val="000000"/>
          <w:sz w:val="20"/>
          <w:szCs w:val="20"/>
        </w:rPr>
        <w:t>University Partnerships’</w:t>
      </w:r>
      <w:r w:rsidRPr="00713166">
        <w:rPr>
          <w:rFonts w:ascii="Arial" w:hAnsi="Arial" w:cs="Arial"/>
          <w:i/>
          <w:sz w:val="20"/>
          <w:szCs w:val="20"/>
        </w:rPr>
        <w:t xml:space="preserve">. </w:t>
      </w:r>
      <w:r w:rsidR="0033110F" w:rsidRPr="00713166">
        <w:rPr>
          <w:rFonts w:ascii="Arial" w:hAnsi="Arial" w:cs="Arial"/>
          <w:sz w:val="20"/>
          <w:szCs w:val="20"/>
        </w:rPr>
        <w:t xml:space="preserve">In exploring this theme, we are interested not just in programmes that attract external grant funding </w:t>
      </w:r>
      <w:r w:rsidR="004F61E2" w:rsidRPr="00713166">
        <w:rPr>
          <w:rFonts w:ascii="Arial" w:hAnsi="Arial" w:cs="Arial"/>
          <w:sz w:val="20"/>
          <w:szCs w:val="20"/>
        </w:rPr>
        <w:t>but also in small scale initiatives developed with minimal resources and maintained through the commitment, ingenuity and creativity of the different partners. In challenging economic times, universities will increasingly be expected to do more with less.</w:t>
      </w:r>
      <w:r w:rsidR="00A52329">
        <w:rPr>
          <w:rFonts w:ascii="Arial" w:hAnsi="Arial" w:cs="Arial"/>
          <w:sz w:val="20"/>
          <w:szCs w:val="20"/>
        </w:rPr>
        <w:t xml:space="preserve"> </w:t>
      </w:r>
      <w:r w:rsidR="00910EE0">
        <w:rPr>
          <w:rFonts w:ascii="Arial" w:hAnsi="Arial" w:cs="Arial"/>
          <w:sz w:val="20"/>
          <w:szCs w:val="20"/>
        </w:rPr>
        <w:t xml:space="preserve">Some </w:t>
      </w:r>
      <w:r w:rsidR="00910EE0" w:rsidRPr="00713166">
        <w:rPr>
          <w:rFonts w:ascii="Arial" w:hAnsi="Arial" w:cs="Arial"/>
          <w:sz w:val="20"/>
          <w:szCs w:val="20"/>
        </w:rPr>
        <w:t>community</w:t>
      </w:r>
      <w:r w:rsidR="004F61E2" w:rsidRPr="00713166">
        <w:rPr>
          <w:rFonts w:ascii="Arial" w:hAnsi="Arial" w:cs="Arial"/>
          <w:sz w:val="20"/>
          <w:szCs w:val="20"/>
        </w:rPr>
        <w:t xml:space="preserve"> – university partnerships represent example</w:t>
      </w:r>
      <w:r w:rsidR="00A52329">
        <w:rPr>
          <w:rFonts w:ascii="Arial" w:hAnsi="Arial" w:cs="Arial"/>
          <w:sz w:val="20"/>
          <w:szCs w:val="20"/>
        </w:rPr>
        <w:t>s</w:t>
      </w:r>
      <w:r w:rsidR="004F61E2" w:rsidRPr="00713166">
        <w:rPr>
          <w:rFonts w:ascii="Arial" w:hAnsi="Arial" w:cs="Arial"/>
          <w:sz w:val="20"/>
          <w:szCs w:val="20"/>
        </w:rPr>
        <w:t xml:space="preserve"> of this in practice.</w:t>
      </w:r>
    </w:p>
    <w:p w:rsidR="00B35ADC" w:rsidRDefault="00B35ADC" w:rsidP="00515979">
      <w:pPr>
        <w:shd w:val="clear" w:color="auto" w:fill="FFFFFF"/>
        <w:spacing w:after="60" w:line="360" w:lineRule="auto"/>
        <w:ind w:right="240"/>
        <w:outlineLvl w:val="3"/>
        <w:rPr>
          <w:rFonts w:ascii="Arial" w:hAnsi="Arial" w:cs="Arial"/>
          <w:i/>
          <w:color w:val="000000"/>
          <w:sz w:val="20"/>
          <w:szCs w:val="20"/>
        </w:rPr>
      </w:pPr>
    </w:p>
    <w:p w:rsidR="00F226A7" w:rsidRPr="00714E8A" w:rsidRDefault="00B35ADC" w:rsidP="00F226A7">
      <w:pPr>
        <w:autoSpaceDE w:val="0"/>
        <w:autoSpaceDN w:val="0"/>
        <w:adjustRightInd w:val="0"/>
        <w:spacing w:after="0" w:line="360" w:lineRule="auto"/>
        <w:rPr>
          <w:rFonts w:ascii="Arial" w:hAnsi="Arial" w:cs="Arial"/>
          <w:sz w:val="20"/>
          <w:szCs w:val="20"/>
        </w:rPr>
      </w:pPr>
      <w:r w:rsidRPr="00714E8A">
        <w:rPr>
          <w:rFonts w:ascii="Arial" w:hAnsi="Arial" w:cs="Arial"/>
          <w:color w:val="000000"/>
          <w:sz w:val="20"/>
          <w:szCs w:val="20"/>
        </w:rPr>
        <w:t>In recent years</w:t>
      </w:r>
      <w:r w:rsidRPr="00714E8A">
        <w:rPr>
          <w:rFonts w:ascii="Arial" w:hAnsi="Arial" w:cs="Arial"/>
          <w:sz w:val="20"/>
          <w:szCs w:val="20"/>
        </w:rPr>
        <w:t xml:space="preserve"> there has been a growth in the academic literature with a focus on the role of universities in developing community partnerships</w:t>
      </w:r>
      <w:r w:rsidR="004F61E2">
        <w:rPr>
          <w:rFonts w:ascii="Arial" w:hAnsi="Arial" w:cs="Arial"/>
          <w:sz w:val="20"/>
          <w:szCs w:val="20"/>
        </w:rPr>
        <w:t>, for example</w:t>
      </w:r>
      <w:r w:rsidRPr="00714E8A">
        <w:rPr>
          <w:rFonts w:ascii="Arial" w:hAnsi="Arial" w:cs="Arial"/>
          <w:sz w:val="20"/>
          <w:szCs w:val="20"/>
        </w:rPr>
        <w:t xml:space="preserve"> on project work </w:t>
      </w:r>
      <w:r w:rsidRPr="00714E8A">
        <w:rPr>
          <w:rStyle w:val="A4"/>
          <w:rFonts w:ascii="Arial" w:hAnsi="Arial" w:cs="Arial"/>
          <w:i w:val="0"/>
        </w:rPr>
        <w:t>(Fogel and Cook 2006; Lerner and Simon 1998a)</w:t>
      </w:r>
      <w:r w:rsidRPr="00714E8A">
        <w:rPr>
          <w:rFonts w:ascii="Arial" w:hAnsi="Arial" w:cs="Arial"/>
          <w:i/>
          <w:sz w:val="20"/>
          <w:szCs w:val="20"/>
        </w:rPr>
        <w:t>, “</w:t>
      </w:r>
      <w:r w:rsidRPr="00714E8A">
        <w:rPr>
          <w:rFonts w:ascii="Arial" w:hAnsi="Arial" w:cs="Arial"/>
          <w:sz w:val="20"/>
          <w:szCs w:val="20"/>
        </w:rPr>
        <w:t>com</w:t>
      </w:r>
      <w:r w:rsidRPr="00714E8A">
        <w:rPr>
          <w:rFonts w:ascii="Arial" w:hAnsi="Arial" w:cs="Arial"/>
          <w:sz w:val="20"/>
          <w:szCs w:val="20"/>
        </w:rPr>
        <w:softHyphen/>
        <w:t xml:space="preserve">munities of practice” </w:t>
      </w:r>
      <w:r w:rsidRPr="00714E8A">
        <w:rPr>
          <w:rStyle w:val="A4"/>
          <w:rFonts w:ascii="Arial" w:hAnsi="Arial" w:cs="Arial"/>
          <w:i w:val="0"/>
        </w:rPr>
        <w:t>(Hart and Wolff 2006)</w:t>
      </w:r>
      <w:r w:rsidRPr="00714E8A">
        <w:rPr>
          <w:rFonts w:ascii="Arial" w:hAnsi="Arial" w:cs="Arial"/>
          <w:i/>
          <w:sz w:val="20"/>
          <w:szCs w:val="20"/>
        </w:rPr>
        <w:t>,</w:t>
      </w:r>
      <w:r w:rsidRPr="00714E8A">
        <w:rPr>
          <w:rFonts w:ascii="Arial" w:hAnsi="Arial" w:cs="Arial"/>
          <w:sz w:val="20"/>
          <w:szCs w:val="20"/>
        </w:rPr>
        <w:t xml:space="preserve"> and “clusters” </w:t>
      </w:r>
      <w:r w:rsidRPr="00714E8A">
        <w:rPr>
          <w:rStyle w:val="A4"/>
          <w:rFonts w:ascii="Arial" w:hAnsi="Arial" w:cs="Arial"/>
          <w:i w:val="0"/>
        </w:rPr>
        <w:t>(Fielden et al. 2007)</w:t>
      </w:r>
      <w:r w:rsidRPr="00714E8A">
        <w:rPr>
          <w:rFonts w:ascii="Arial" w:hAnsi="Arial" w:cs="Arial"/>
          <w:i/>
          <w:sz w:val="20"/>
          <w:szCs w:val="20"/>
        </w:rPr>
        <w:t>.</w:t>
      </w:r>
      <w:r w:rsidRPr="00714E8A">
        <w:rPr>
          <w:rFonts w:ascii="Arial" w:hAnsi="Arial" w:cs="Arial"/>
          <w:sz w:val="20"/>
          <w:szCs w:val="20"/>
        </w:rPr>
        <w:t xml:space="preserve"> However, there is a relative lack of discussion on how such partnerships can be sustained. Where there is a focus on sustainability it is often </w:t>
      </w:r>
      <w:r w:rsidR="005B37F0">
        <w:rPr>
          <w:rFonts w:ascii="Arial" w:hAnsi="Arial" w:cs="Arial"/>
          <w:sz w:val="20"/>
          <w:szCs w:val="20"/>
        </w:rPr>
        <w:t>concerned with</w:t>
      </w:r>
      <w:r w:rsidR="00556FE7" w:rsidRPr="00714E8A">
        <w:rPr>
          <w:rFonts w:ascii="Arial" w:hAnsi="Arial" w:cs="Arial"/>
          <w:sz w:val="20"/>
          <w:szCs w:val="20"/>
        </w:rPr>
        <w:t xml:space="preserve"> a</w:t>
      </w:r>
      <w:r w:rsidRPr="00714E8A">
        <w:rPr>
          <w:rFonts w:ascii="Arial" w:hAnsi="Arial" w:cs="Arial"/>
          <w:sz w:val="20"/>
          <w:szCs w:val="20"/>
        </w:rPr>
        <w:t xml:space="preserve"> specific programme or intervention</w:t>
      </w:r>
      <w:r w:rsidR="005B37F0">
        <w:rPr>
          <w:rFonts w:ascii="Arial" w:hAnsi="Arial" w:cs="Arial"/>
          <w:sz w:val="20"/>
          <w:szCs w:val="20"/>
        </w:rPr>
        <w:t>,</w:t>
      </w:r>
      <w:r w:rsidRPr="00714E8A">
        <w:rPr>
          <w:rFonts w:ascii="Arial" w:hAnsi="Arial" w:cs="Arial"/>
          <w:sz w:val="20"/>
          <w:szCs w:val="20"/>
        </w:rPr>
        <w:t xml:space="preserve"> rather than </w:t>
      </w:r>
      <w:r w:rsidR="00556FE7" w:rsidRPr="00714E8A">
        <w:rPr>
          <w:rFonts w:ascii="Arial" w:hAnsi="Arial" w:cs="Arial"/>
          <w:sz w:val="20"/>
          <w:szCs w:val="20"/>
        </w:rPr>
        <w:t>on sustaining the reciprocal relationship</w:t>
      </w:r>
      <w:r w:rsidR="00EC38F9" w:rsidRPr="00714E8A">
        <w:rPr>
          <w:rFonts w:ascii="Arial" w:hAnsi="Arial" w:cs="Arial"/>
          <w:sz w:val="20"/>
          <w:szCs w:val="20"/>
        </w:rPr>
        <w:t>s</w:t>
      </w:r>
      <w:r w:rsidR="00784DF5">
        <w:rPr>
          <w:rFonts w:ascii="Arial" w:hAnsi="Arial" w:cs="Arial"/>
          <w:sz w:val="20"/>
          <w:szCs w:val="20"/>
        </w:rPr>
        <w:t xml:space="preserve"> and mutual benefit</w:t>
      </w:r>
      <w:r w:rsidR="00556FE7" w:rsidRPr="00714E8A">
        <w:rPr>
          <w:rFonts w:ascii="Arial" w:hAnsi="Arial" w:cs="Arial"/>
          <w:sz w:val="20"/>
          <w:szCs w:val="20"/>
        </w:rPr>
        <w:t xml:space="preserve"> between com</w:t>
      </w:r>
      <w:r w:rsidR="004F61E2">
        <w:rPr>
          <w:rFonts w:ascii="Arial" w:hAnsi="Arial" w:cs="Arial"/>
          <w:sz w:val="20"/>
          <w:szCs w:val="20"/>
        </w:rPr>
        <w:t>munity and university partners and their institutions</w:t>
      </w:r>
      <w:r w:rsidR="00784DF5">
        <w:rPr>
          <w:rFonts w:ascii="Arial" w:hAnsi="Arial" w:cs="Arial"/>
          <w:sz w:val="20"/>
          <w:szCs w:val="20"/>
        </w:rPr>
        <w:t>.</w:t>
      </w:r>
    </w:p>
    <w:p w:rsidR="00F226A7" w:rsidRDefault="00F226A7" w:rsidP="00F226A7">
      <w:pPr>
        <w:autoSpaceDE w:val="0"/>
        <w:autoSpaceDN w:val="0"/>
        <w:adjustRightInd w:val="0"/>
        <w:spacing w:after="0" w:line="360" w:lineRule="auto"/>
        <w:rPr>
          <w:rFonts w:ascii="Arial" w:hAnsi="Arial" w:cs="Arial"/>
          <w:sz w:val="20"/>
          <w:szCs w:val="20"/>
        </w:rPr>
      </w:pPr>
    </w:p>
    <w:p w:rsidR="00F226A7" w:rsidRPr="00F226A7" w:rsidRDefault="00556FE7" w:rsidP="00F226A7">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Writing in the context of social work education, </w:t>
      </w:r>
      <w:r w:rsidR="00F226A7">
        <w:rPr>
          <w:rFonts w:ascii="Arial" w:hAnsi="Arial" w:cs="Arial"/>
          <w:sz w:val="20"/>
          <w:szCs w:val="20"/>
        </w:rPr>
        <w:t xml:space="preserve">for example, </w:t>
      </w:r>
      <w:r>
        <w:rPr>
          <w:rFonts w:ascii="Arial" w:hAnsi="Arial" w:cs="Arial"/>
          <w:sz w:val="20"/>
          <w:szCs w:val="20"/>
        </w:rPr>
        <w:t>McAslin &amp; Barnstable (2010) argue that “most analyses of community/ university collaborations... focus on the benefit to agencies” (p3)</w:t>
      </w:r>
      <w:r w:rsidR="00784DF5">
        <w:rPr>
          <w:rFonts w:ascii="Arial" w:hAnsi="Arial" w:cs="Arial"/>
          <w:sz w:val="20"/>
          <w:szCs w:val="20"/>
        </w:rPr>
        <w:t xml:space="preserve"> especially</w:t>
      </w:r>
      <w:r w:rsidR="00EC38F9">
        <w:rPr>
          <w:rFonts w:ascii="Arial" w:hAnsi="Arial" w:cs="Arial"/>
          <w:sz w:val="20"/>
          <w:szCs w:val="20"/>
        </w:rPr>
        <w:t xml:space="preserve"> in terms of improving practice and creating a pool of qualified staff</w:t>
      </w:r>
      <w:r>
        <w:rPr>
          <w:rFonts w:ascii="Arial" w:hAnsi="Arial" w:cs="Arial"/>
          <w:sz w:val="20"/>
          <w:szCs w:val="20"/>
        </w:rPr>
        <w:t xml:space="preserve">. </w:t>
      </w:r>
      <w:r w:rsidR="003135FA">
        <w:rPr>
          <w:rFonts w:ascii="Arial" w:hAnsi="Arial" w:cs="Arial"/>
          <w:sz w:val="20"/>
          <w:szCs w:val="20"/>
        </w:rPr>
        <w:t xml:space="preserve">Stirman et al (2009) </w:t>
      </w:r>
      <w:r w:rsidR="000F0996">
        <w:rPr>
          <w:rFonts w:ascii="Arial" w:hAnsi="Arial" w:cs="Arial"/>
          <w:sz w:val="20"/>
          <w:szCs w:val="20"/>
        </w:rPr>
        <w:t xml:space="preserve">similarly </w:t>
      </w:r>
      <w:r w:rsidR="005B37F0">
        <w:rPr>
          <w:rFonts w:ascii="Arial" w:hAnsi="Arial" w:cs="Arial"/>
          <w:sz w:val="20"/>
          <w:szCs w:val="20"/>
        </w:rPr>
        <w:t>emphasise agency policies in sustaining</w:t>
      </w:r>
      <w:r w:rsidR="00102993">
        <w:rPr>
          <w:rFonts w:ascii="Arial" w:hAnsi="Arial" w:cs="Arial"/>
          <w:sz w:val="20"/>
          <w:szCs w:val="20"/>
        </w:rPr>
        <w:t xml:space="preserve"> </w:t>
      </w:r>
      <w:r w:rsidR="005B37F0">
        <w:rPr>
          <w:rFonts w:ascii="Arial" w:hAnsi="Arial" w:cs="Arial"/>
          <w:sz w:val="20"/>
          <w:szCs w:val="20"/>
        </w:rPr>
        <w:t>university public health initiative</w:t>
      </w:r>
      <w:r w:rsidR="00102993">
        <w:rPr>
          <w:rFonts w:ascii="Arial" w:hAnsi="Arial" w:cs="Arial"/>
          <w:sz w:val="20"/>
          <w:szCs w:val="20"/>
        </w:rPr>
        <w:t>s</w:t>
      </w:r>
      <w:r w:rsidR="005B37F0">
        <w:rPr>
          <w:rFonts w:ascii="Arial" w:hAnsi="Arial" w:cs="Arial"/>
          <w:sz w:val="20"/>
          <w:szCs w:val="20"/>
        </w:rPr>
        <w:t xml:space="preserve">. </w:t>
      </w:r>
      <w:r>
        <w:rPr>
          <w:rFonts w:ascii="Arial" w:hAnsi="Arial" w:cs="Arial"/>
          <w:sz w:val="20"/>
          <w:szCs w:val="20"/>
        </w:rPr>
        <w:t>An alternative focus is on the sustainability of specific health behaviours. In the field of community health, where partnership approaches are increasingly combined with other interventions</w:t>
      </w:r>
      <w:r w:rsidR="00F226A7">
        <w:rPr>
          <w:rFonts w:ascii="Arial" w:hAnsi="Arial" w:cs="Arial"/>
          <w:sz w:val="20"/>
          <w:szCs w:val="20"/>
        </w:rPr>
        <w:t>, project evaluation is often limited to changes in population health status while “</w:t>
      </w:r>
      <w:r w:rsidR="00F226A7" w:rsidRPr="00556FE7">
        <w:rPr>
          <w:rFonts w:ascii="Arial" w:hAnsi="Arial" w:cs="Arial"/>
          <w:sz w:val="20"/>
          <w:szCs w:val="20"/>
        </w:rPr>
        <w:t>broader contextual questions that may illuminate mechanisms</w:t>
      </w:r>
      <w:r w:rsidR="00F226A7">
        <w:rPr>
          <w:rFonts w:ascii="Arial" w:hAnsi="Arial" w:cs="Arial"/>
          <w:sz w:val="20"/>
          <w:szCs w:val="20"/>
        </w:rPr>
        <w:t xml:space="preserve"> </w:t>
      </w:r>
      <w:r w:rsidR="00F226A7" w:rsidRPr="00556FE7">
        <w:rPr>
          <w:rFonts w:ascii="Arial" w:hAnsi="Arial" w:cs="Arial"/>
          <w:sz w:val="20"/>
          <w:szCs w:val="20"/>
        </w:rPr>
        <w:t>for change across ecological levels and project sustainability</w:t>
      </w:r>
      <w:r w:rsidR="00F226A7">
        <w:rPr>
          <w:rFonts w:ascii="Arial" w:hAnsi="Arial" w:cs="Arial"/>
          <w:sz w:val="20"/>
          <w:szCs w:val="20"/>
        </w:rPr>
        <w:t xml:space="preserve"> </w:t>
      </w:r>
      <w:r w:rsidR="00F226A7" w:rsidRPr="00556FE7">
        <w:rPr>
          <w:rFonts w:ascii="Arial" w:hAnsi="Arial" w:cs="Arial"/>
          <w:sz w:val="20"/>
          <w:szCs w:val="20"/>
        </w:rPr>
        <w:t>may not be addressed</w:t>
      </w:r>
      <w:r w:rsidR="00F226A7">
        <w:rPr>
          <w:rFonts w:ascii="Arial" w:hAnsi="Arial" w:cs="Arial"/>
          <w:sz w:val="20"/>
          <w:szCs w:val="20"/>
        </w:rPr>
        <w:t xml:space="preserve">” (Kelley et al 2005 p1). </w:t>
      </w:r>
      <w:r w:rsidR="00EC38F9">
        <w:rPr>
          <w:rFonts w:ascii="Arial" w:hAnsi="Arial" w:cs="Arial"/>
          <w:sz w:val="20"/>
          <w:szCs w:val="20"/>
        </w:rPr>
        <w:t xml:space="preserve">Ecological and social sustainability is a developing </w:t>
      </w:r>
      <w:r w:rsidR="00151DC9">
        <w:rPr>
          <w:rFonts w:ascii="Arial" w:hAnsi="Arial" w:cs="Arial"/>
          <w:sz w:val="20"/>
          <w:szCs w:val="20"/>
        </w:rPr>
        <w:t xml:space="preserve">field </w:t>
      </w:r>
      <w:r w:rsidR="00714E8A">
        <w:rPr>
          <w:rFonts w:ascii="Arial" w:hAnsi="Arial" w:cs="Arial"/>
          <w:sz w:val="20"/>
          <w:szCs w:val="20"/>
        </w:rPr>
        <w:t>and requires strong partnerships between ecologists and land managers</w:t>
      </w:r>
      <w:r w:rsidR="005B37F0">
        <w:rPr>
          <w:rFonts w:ascii="Arial" w:hAnsi="Arial" w:cs="Arial"/>
          <w:sz w:val="20"/>
          <w:szCs w:val="20"/>
        </w:rPr>
        <w:t xml:space="preserve"> </w:t>
      </w:r>
      <w:r w:rsidR="00714E8A">
        <w:rPr>
          <w:rFonts w:ascii="Arial" w:hAnsi="Arial" w:cs="Arial"/>
          <w:sz w:val="20"/>
          <w:szCs w:val="20"/>
        </w:rPr>
        <w:t>(Castillo et al 2005, Grainger et al, 2006)</w:t>
      </w:r>
      <w:r w:rsidR="00151DC9">
        <w:rPr>
          <w:rFonts w:ascii="Arial" w:hAnsi="Arial" w:cs="Arial"/>
          <w:sz w:val="20"/>
          <w:szCs w:val="20"/>
        </w:rPr>
        <w:t>.</w:t>
      </w:r>
      <w:r w:rsidR="005B37F0">
        <w:rPr>
          <w:rFonts w:ascii="Arial" w:hAnsi="Arial" w:cs="Arial"/>
          <w:sz w:val="20"/>
          <w:szCs w:val="20"/>
        </w:rPr>
        <w:t xml:space="preserve"> </w:t>
      </w:r>
      <w:r w:rsidR="00B9617B" w:rsidRPr="00713166">
        <w:rPr>
          <w:rFonts w:ascii="Arial" w:hAnsi="Arial" w:cs="Arial"/>
          <w:sz w:val="20"/>
          <w:szCs w:val="20"/>
        </w:rPr>
        <w:t>Here t</w:t>
      </w:r>
      <w:r w:rsidR="004F61E2" w:rsidRPr="00713166">
        <w:rPr>
          <w:rFonts w:ascii="Arial" w:hAnsi="Arial" w:cs="Arial"/>
          <w:sz w:val="20"/>
          <w:szCs w:val="20"/>
        </w:rPr>
        <w:t>he focus of attention is on the</w:t>
      </w:r>
      <w:r w:rsidR="005B37F0" w:rsidRPr="00713166">
        <w:rPr>
          <w:rFonts w:ascii="Arial" w:hAnsi="Arial" w:cs="Arial"/>
          <w:sz w:val="20"/>
          <w:szCs w:val="20"/>
        </w:rPr>
        <w:t xml:space="preserve"> different perceptions of partners and its impact on environmental management</w:t>
      </w:r>
      <w:r w:rsidR="00102993" w:rsidRPr="00713166">
        <w:rPr>
          <w:rFonts w:ascii="Arial" w:hAnsi="Arial" w:cs="Arial"/>
          <w:sz w:val="20"/>
          <w:szCs w:val="20"/>
        </w:rPr>
        <w:t>.</w:t>
      </w:r>
    </w:p>
    <w:p w:rsidR="00556FE7" w:rsidRDefault="00556FE7" w:rsidP="00556FE7">
      <w:pPr>
        <w:autoSpaceDE w:val="0"/>
        <w:autoSpaceDN w:val="0"/>
        <w:adjustRightInd w:val="0"/>
        <w:spacing w:after="0" w:line="240" w:lineRule="auto"/>
        <w:rPr>
          <w:rFonts w:ascii="Arial" w:hAnsi="Arial" w:cs="Arial"/>
          <w:sz w:val="20"/>
          <w:szCs w:val="20"/>
        </w:rPr>
      </w:pPr>
    </w:p>
    <w:p w:rsidR="00515979" w:rsidRDefault="003135FA" w:rsidP="00515979">
      <w:pPr>
        <w:shd w:val="clear" w:color="auto" w:fill="FFFFFF"/>
        <w:spacing w:after="60" w:line="360" w:lineRule="auto"/>
        <w:ind w:right="240"/>
        <w:outlineLvl w:val="3"/>
        <w:rPr>
          <w:rFonts w:ascii="Arial" w:hAnsi="Arial" w:cs="Arial"/>
          <w:color w:val="000000"/>
          <w:sz w:val="20"/>
          <w:szCs w:val="20"/>
        </w:rPr>
      </w:pPr>
      <w:r>
        <w:rPr>
          <w:rFonts w:ascii="Arial" w:hAnsi="Arial" w:cs="Arial"/>
          <w:color w:val="000000"/>
          <w:sz w:val="20"/>
          <w:szCs w:val="20"/>
        </w:rPr>
        <w:lastRenderedPageBreak/>
        <w:t xml:space="preserve">Rather than </w:t>
      </w:r>
      <w:r w:rsidR="00111F9B">
        <w:rPr>
          <w:rFonts w:ascii="Arial" w:hAnsi="Arial" w:cs="Arial"/>
          <w:color w:val="000000"/>
          <w:sz w:val="20"/>
          <w:szCs w:val="20"/>
        </w:rPr>
        <w:t>assume</w:t>
      </w:r>
      <w:r w:rsidR="000F0996">
        <w:rPr>
          <w:rFonts w:ascii="Arial" w:hAnsi="Arial" w:cs="Arial"/>
          <w:color w:val="000000"/>
          <w:sz w:val="20"/>
          <w:szCs w:val="20"/>
        </w:rPr>
        <w:t xml:space="preserve"> that sustainability has an intrinsic value</w:t>
      </w:r>
      <w:r w:rsidR="00111F9B">
        <w:rPr>
          <w:rFonts w:ascii="Arial" w:hAnsi="Arial" w:cs="Arial"/>
          <w:color w:val="000000"/>
          <w:sz w:val="20"/>
          <w:szCs w:val="20"/>
        </w:rPr>
        <w:t xml:space="preserve">, this special edition </w:t>
      </w:r>
      <w:r w:rsidR="00102993">
        <w:rPr>
          <w:rFonts w:ascii="Arial" w:hAnsi="Arial" w:cs="Arial"/>
          <w:color w:val="000000"/>
          <w:sz w:val="20"/>
          <w:szCs w:val="20"/>
        </w:rPr>
        <w:t xml:space="preserve">will </w:t>
      </w:r>
      <w:r w:rsidR="00A52329">
        <w:rPr>
          <w:rFonts w:ascii="Arial" w:hAnsi="Arial" w:cs="Arial"/>
          <w:color w:val="000000"/>
          <w:sz w:val="20"/>
          <w:szCs w:val="20"/>
        </w:rPr>
        <w:t xml:space="preserve">encourage contributors to reflect on their work </w:t>
      </w:r>
      <w:r w:rsidR="00910EE0">
        <w:rPr>
          <w:rFonts w:ascii="Arial" w:hAnsi="Arial" w:cs="Arial"/>
          <w:color w:val="000000"/>
          <w:sz w:val="20"/>
          <w:szCs w:val="20"/>
        </w:rPr>
        <w:t>and the</w:t>
      </w:r>
      <w:r>
        <w:rPr>
          <w:rFonts w:ascii="Arial" w:hAnsi="Arial" w:cs="Arial"/>
          <w:color w:val="000000"/>
          <w:sz w:val="20"/>
          <w:szCs w:val="20"/>
        </w:rPr>
        <w:t xml:space="preserve"> </w:t>
      </w:r>
      <w:r w:rsidR="00111F9B">
        <w:rPr>
          <w:rFonts w:ascii="Arial" w:hAnsi="Arial" w:cs="Arial"/>
          <w:color w:val="000000"/>
          <w:sz w:val="20"/>
          <w:szCs w:val="20"/>
        </w:rPr>
        <w:t>concept of sustainability</w:t>
      </w:r>
      <w:r w:rsidR="00A52329">
        <w:rPr>
          <w:rFonts w:ascii="Arial" w:hAnsi="Arial" w:cs="Arial"/>
          <w:color w:val="000000"/>
          <w:sz w:val="20"/>
          <w:szCs w:val="20"/>
        </w:rPr>
        <w:t xml:space="preserve">. We welcome </w:t>
      </w:r>
      <w:r>
        <w:rPr>
          <w:rFonts w:ascii="Arial" w:hAnsi="Arial" w:cs="Arial"/>
          <w:color w:val="000000"/>
          <w:sz w:val="20"/>
          <w:szCs w:val="20"/>
        </w:rPr>
        <w:t>investigat</w:t>
      </w:r>
      <w:r w:rsidR="00A52329">
        <w:rPr>
          <w:rFonts w:ascii="Arial" w:hAnsi="Arial" w:cs="Arial"/>
          <w:color w:val="000000"/>
          <w:sz w:val="20"/>
          <w:szCs w:val="20"/>
        </w:rPr>
        <w:t xml:space="preserve">ions into </w:t>
      </w:r>
      <w:r>
        <w:rPr>
          <w:rFonts w:ascii="Arial" w:hAnsi="Arial" w:cs="Arial"/>
          <w:color w:val="000000"/>
          <w:sz w:val="20"/>
          <w:szCs w:val="20"/>
        </w:rPr>
        <w:t>ways</w:t>
      </w:r>
      <w:r w:rsidR="00102993">
        <w:rPr>
          <w:rFonts w:ascii="Arial" w:hAnsi="Arial" w:cs="Arial"/>
          <w:color w:val="000000"/>
          <w:sz w:val="20"/>
          <w:szCs w:val="20"/>
        </w:rPr>
        <w:t xml:space="preserve"> in which community university partnerships can build </w:t>
      </w:r>
      <w:r w:rsidR="00A52329">
        <w:rPr>
          <w:rFonts w:ascii="Arial" w:hAnsi="Arial" w:cs="Arial"/>
          <w:color w:val="000000"/>
          <w:sz w:val="20"/>
          <w:szCs w:val="20"/>
        </w:rPr>
        <w:t xml:space="preserve">positive </w:t>
      </w:r>
      <w:r w:rsidR="00102993">
        <w:rPr>
          <w:rFonts w:ascii="Arial" w:hAnsi="Arial" w:cs="Arial"/>
          <w:color w:val="000000"/>
          <w:sz w:val="20"/>
          <w:szCs w:val="20"/>
        </w:rPr>
        <w:t>longer term legac</w:t>
      </w:r>
      <w:r w:rsidR="00A52329">
        <w:rPr>
          <w:rFonts w:ascii="Arial" w:hAnsi="Arial" w:cs="Arial"/>
          <w:color w:val="000000"/>
          <w:sz w:val="20"/>
          <w:szCs w:val="20"/>
        </w:rPr>
        <w:t>ies, but are also open to lesson</w:t>
      </w:r>
      <w:r w:rsidR="00910EE0">
        <w:rPr>
          <w:rFonts w:ascii="Arial" w:hAnsi="Arial" w:cs="Arial"/>
          <w:color w:val="000000"/>
          <w:sz w:val="20"/>
          <w:szCs w:val="20"/>
        </w:rPr>
        <w:t>s</w:t>
      </w:r>
      <w:r w:rsidR="00A52329">
        <w:rPr>
          <w:rFonts w:ascii="Arial" w:hAnsi="Arial" w:cs="Arial"/>
          <w:color w:val="000000"/>
          <w:sz w:val="20"/>
          <w:szCs w:val="20"/>
        </w:rPr>
        <w:t xml:space="preserve"> learnt from partnerships that have not worked out</w:t>
      </w:r>
      <w:r w:rsidR="00102993">
        <w:rPr>
          <w:rFonts w:ascii="Arial" w:hAnsi="Arial" w:cs="Arial"/>
          <w:color w:val="000000"/>
          <w:sz w:val="20"/>
          <w:szCs w:val="20"/>
        </w:rPr>
        <w:t xml:space="preserve">. </w:t>
      </w:r>
      <w:r w:rsidR="00111F9B">
        <w:rPr>
          <w:rFonts w:ascii="Arial" w:hAnsi="Arial" w:cs="Arial"/>
          <w:color w:val="000000"/>
          <w:sz w:val="20"/>
          <w:szCs w:val="20"/>
        </w:rPr>
        <w:t>A broad range of a</w:t>
      </w:r>
      <w:r w:rsidR="00515979">
        <w:rPr>
          <w:rFonts w:ascii="Arial" w:hAnsi="Arial" w:cs="Arial"/>
          <w:color w:val="000000"/>
          <w:sz w:val="20"/>
          <w:szCs w:val="20"/>
        </w:rPr>
        <w:t>rticles, both refereed and non-refereed, are invited from co</w:t>
      </w:r>
      <w:r w:rsidR="00102993">
        <w:rPr>
          <w:rFonts w:ascii="Arial" w:hAnsi="Arial" w:cs="Arial"/>
          <w:color w:val="000000"/>
          <w:sz w:val="20"/>
          <w:szCs w:val="20"/>
        </w:rPr>
        <w:t>mmunity and university partners.</w:t>
      </w:r>
      <w:r w:rsidR="00515979">
        <w:rPr>
          <w:rFonts w:ascii="Arial" w:hAnsi="Arial" w:cs="Arial"/>
          <w:color w:val="000000"/>
          <w:sz w:val="20"/>
          <w:szCs w:val="20"/>
        </w:rPr>
        <w:t xml:space="preserve"> </w:t>
      </w:r>
      <w:r w:rsidR="00111F9B">
        <w:rPr>
          <w:rFonts w:ascii="Arial" w:hAnsi="Arial" w:cs="Arial"/>
          <w:color w:val="000000"/>
          <w:sz w:val="20"/>
          <w:szCs w:val="20"/>
        </w:rPr>
        <w:t xml:space="preserve">We are interested in </w:t>
      </w:r>
      <w:r w:rsidR="00A52329">
        <w:rPr>
          <w:rFonts w:ascii="Arial" w:hAnsi="Arial" w:cs="Arial"/>
          <w:color w:val="000000"/>
          <w:sz w:val="20"/>
          <w:szCs w:val="20"/>
        </w:rPr>
        <w:t xml:space="preserve">reflections </w:t>
      </w:r>
      <w:r w:rsidR="00910EE0">
        <w:rPr>
          <w:rFonts w:ascii="Arial" w:hAnsi="Arial" w:cs="Arial"/>
          <w:color w:val="000000"/>
          <w:sz w:val="20"/>
          <w:szCs w:val="20"/>
        </w:rPr>
        <w:t>on new</w:t>
      </w:r>
      <w:r w:rsidR="00111F9B">
        <w:rPr>
          <w:rFonts w:ascii="Arial" w:hAnsi="Arial" w:cs="Arial"/>
          <w:color w:val="000000"/>
          <w:sz w:val="20"/>
          <w:szCs w:val="20"/>
        </w:rPr>
        <w:t xml:space="preserve"> and medium term partnerships as well as more established ones. Articles</w:t>
      </w:r>
      <w:r w:rsidR="00515979">
        <w:rPr>
          <w:rFonts w:ascii="Arial" w:hAnsi="Arial" w:cs="Arial"/>
          <w:color w:val="000000"/>
          <w:sz w:val="20"/>
          <w:szCs w:val="20"/>
        </w:rPr>
        <w:t xml:space="preserve"> could be </w:t>
      </w:r>
      <w:r w:rsidR="00111F9B">
        <w:rPr>
          <w:rFonts w:ascii="Arial" w:hAnsi="Arial" w:cs="Arial"/>
          <w:color w:val="000000"/>
          <w:sz w:val="20"/>
          <w:szCs w:val="20"/>
        </w:rPr>
        <w:t xml:space="preserve">field reports, </w:t>
      </w:r>
      <w:r w:rsidR="00515979">
        <w:rPr>
          <w:rFonts w:ascii="Arial" w:hAnsi="Arial" w:cs="Arial"/>
          <w:color w:val="000000"/>
          <w:sz w:val="20"/>
          <w:szCs w:val="20"/>
        </w:rPr>
        <w:t>evaluative case studies of community engagement initiatives, including examples of difficulties and how partnerships worked through them; analyses of policy impact; examples of enterprise creation; the development of teaching and learning practice; or theoretical reflections that contribute to the scholarship of engagement. Contributors are advised to avoid lengthy descriptions of project activities.</w:t>
      </w:r>
    </w:p>
    <w:p w:rsidR="00515979" w:rsidRDefault="00515979" w:rsidP="00314415">
      <w:pPr>
        <w:shd w:val="clear" w:color="auto" w:fill="FFFFFF"/>
        <w:spacing w:after="0" w:line="360" w:lineRule="auto"/>
        <w:rPr>
          <w:rFonts w:ascii="Arial" w:hAnsi="Arial" w:cs="Arial"/>
          <w:b/>
          <w:color w:val="000000"/>
          <w:sz w:val="24"/>
          <w:szCs w:val="24"/>
        </w:rPr>
      </w:pPr>
    </w:p>
    <w:p w:rsidR="00314415" w:rsidRPr="00314415" w:rsidRDefault="00314415" w:rsidP="00314415">
      <w:pPr>
        <w:shd w:val="clear" w:color="auto" w:fill="FFFFFF"/>
        <w:spacing w:after="0" w:line="360" w:lineRule="auto"/>
        <w:rPr>
          <w:rFonts w:ascii="Arial" w:eastAsia="Times New Roman" w:hAnsi="Arial" w:cs="Arial"/>
          <w:b/>
          <w:color w:val="000000"/>
          <w:sz w:val="24"/>
          <w:szCs w:val="24"/>
          <w:lang w:eastAsia="en-GB"/>
        </w:rPr>
      </w:pPr>
      <w:r w:rsidRPr="00314415">
        <w:rPr>
          <w:rFonts w:ascii="Arial" w:hAnsi="Arial" w:cs="Arial"/>
          <w:b/>
          <w:color w:val="000000"/>
          <w:sz w:val="24"/>
          <w:szCs w:val="24"/>
        </w:rPr>
        <w:t>Gateways: International Journal of Community Research and Engagement</w:t>
      </w:r>
    </w:p>
    <w:p w:rsidR="00283560" w:rsidRPr="00283560" w:rsidRDefault="00283560" w:rsidP="00314415">
      <w:pPr>
        <w:shd w:val="clear" w:color="auto" w:fill="FFFFFF"/>
        <w:spacing w:after="0" w:line="360" w:lineRule="auto"/>
        <w:rPr>
          <w:rFonts w:ascii="Arial" w:eastAsia="Times New Roman" w:hAnsi="Arial" w:cs="Arial"/>
          <w:color w:val="000000"/>
          <w:sz w:val="20"/>
          <w:szCs w:val="20"/>
          <w:lang w:eastAsia="en-GB"/>
        </w:rPr>
      </w:pPr>
      <w:r w:rsidRPr="00283560">
        <w:rPr>
          <w:rFonts w:ascii="Arial" w:eastAsia="Times New Roman" w:hAnsi="Arial" w:cs="Arial"/>
          <w:color w:val="000000"/>
          <w:sz w:val="20"/>
          <w:szCs w:val="20"/>
          <w:lang w:eastAsia="en-GB"/>
        </w:rPr>
        <w:t>Gateways is a refereed journal concerned with the practice and processes of community research and other forms of engagement. It provides a forum for academics, practitioners and community representatives to pursue issues and reflect on practices related to interactions between tertiary institutions and community organizations: academic interventions in community; community-based projects with links to the tertiary sector; and community initiatives.</w:t>
      </w:r>
    </w:p>
    <w:p w:rsidR="00283560" w:rsidRDefault="00283560" w:rsidP="00314415">
      <w:pPr>
        <w:spacing w:after="0" w:line="360" w:lineRule="auto"/>
        <w:rPr>
          <w:rFonts w:ascii="Arial" w:hAnsi="Arial" w:cs="Arial"/>
          <w:color w:val="000000"/>
          <w:sz w:val="20"/>
          <w:szCs w:val="20"/>
        </w:rPr>
      </w:pPr>
    </w:p>
    <w:p w:rsidR="00856164" w:rsidRDefault="00283560" w:rsidP="00856164">
      <w:pPr>
        <w:spacing w:after="0" w:line="360" w:lineRule="auto"/>
        <w:rPr>
          <w:rFonts w:ascii="Arial" w:hAnsi="Arial" w:cs="Arial"/>
          <w:color w:val="000000"/>
          <w:sz w:val="20"/>
          <w:szCs w:val="20"/>
        </w:rPr>
      </w:pPr>
      <w:r>
        <w:rPr>
          <w:rFonts w:ascii="Arial" w:hAnsi="Arial" w:cs="Arial"/>
          <w:color w:val="000000"/>
          <w:sz w:val="20"/>
          <w:szCs w:val="20"/>
        </w:rPr>
        <w:t>Gateways is jointly edited and managed by UTS Shopfront at the University of Technology, Sydney (UTS) in Australia and the Centre for Urban Research and Learning (CURL) at Lo</w:t>
      </w:r>
      <w:r w:rsidR="00856164">
        <w:rPr>
          <w:rFonts w:ascii="Arial" w:hAnsi="Arial" w:cs="Arial"/>
          <w:color w:val="000000"/>
          <w:sz w:val="20"/>
          <w:szCs w:val="20"/>
        </w:rPr>
        <w:t xml:space="preserve">yola University in Chicago, USA </w:t>
      </w:r>
      <w:hyperlink r:id="rId7" w:history="1">
        <w:r w:rsidR="004A1D7B" w:rsidRPr="00BC1E8C">
          <w:rPr>
            <w:rStyle w:val="Hyperlink"/>
            <w:rFonts w:ascii="Arial" w:hAnsi="Arial" w:cs="Arial"/>
            <w:sz w:val="20"/>
            <w:szCs w:val="20"/>
          </w:rPr>
          <w:t>http://epress.lib.uts.edu.au/ojs/index.php/ijcre/index</w:t>
        </w:r>
      </w:hyperlink>
      <w:r w:rsidR="004A1D7B">
        <w:rPr>
          <w:rFonts w:ascii="Arial" w:hAnsi="Arial" w:cs="Arial"/>
          <w:color w:val="000000"/>
          <w:sz w:val="20"/>
          <w:szCs w:val="20"/>
        </w:rPr>
        <w:t xml:space="preserve"> </w:t>
      </w:r>
    </w:p>
    <w:p w:rsidR="00856164" w:rsidRDefault="00856164" w:rsidP="00856164">
      <w:pPr>
        <w:spacing w:after="0" w:line="360" w:lineRule="auto"/>
        <w:rPr>
          <w:rFonts w:ascii="Arial" w:hAnsi="Arial" w:cs="Arial"/>
          <w:color w:val="000000"/>
          <w:sz w:val="20"/>
          <w:szCs w:val="20"/>
        </w:rPr>
      </w:pPr>
    </w:p>
    <w:p w:rsidR="00856164" w:rsidRPr="00283560" w:rsidRDefault="00856164" w:rsidP="00856164">
      <w:pPr>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w:t>
      </w:r>
      <w:r w:rsidRPr="00283560">
        <w:rPr>
          <w:rFonts w:ascii="Arial" w:eastAsia="Times New Roman" w:hAnsi="Arial" w:cs="Arial"/>
          <w:color w:val="000000"/>
          <w:sz w:val="20"/>
          <w:szCs w:val="20"/>
          <w:lang w:eastAsia="en-GB"/>
        </w:rPr>
        <w:t xml:space="preserve"> journal provides open access to all of it</w:t>
      </w:r>
      <w:r>
        <w:rPr>
          <w:rFonts w:ascii="Arial" w:eastAsia="Times New Roman" w:hAnsi="Arial" w:cs="Arial"/>
          <w:color w:val="000000"/>
          <w:sz w:val="20"/>
          <w:szCs w:val="20"/>
          <w:lang w:eastAsia="en-GB"/>
        </w:rPr>
        <w:t>s</w:t>
      </w:r>
      <w:r w:rsidRPr="00283560">
        <w:rPr>
          <w:rFonts w:ascii="Arial" w:eastAsia="Times New Roman" w:hAnsi="Arial" w:cs="Arial"/>
          <w:color w:val="000000"/>
          <w:sz w:val="20"/>
          <w:szCs w:val="20"/>
          <w:lang w:eastAsia="en-GB"/>
        </w:rPr>
        <w:t xml:space="preserve"> content on the principle that making research freely available to the public supports a greater global exchange of knowledge. Such access is associated with increased readership and increase</w:t>
      </w:r>
      <w:r w:rsidR="000375B8">
        <w:rPr>
          <w:rFonts w:ascii="Arial" w:eastAsia="Times New Roman" w:hAnsi="Arial" w:cs="Arial"/>
          <w:color w:val="000000"/>
          <w:sz w:val="20"/>
          <w:szCs w:val="20"/>
          <w:lang w:eastAsia="en-GB"/>
        </w:rPr>
        <w:t>d citation of an author's work.</w:t>
      </w:r>
    </w:p>
    <w:p w:rsidR="002E4F92" w:rsidRDefault="002E4F92" w:rsidP="00314415">
      <w:pPr>
        <w:shd w:val="clear" w:color="auto" w:fill="FFFFFF"/>
        <w:spacing w:after="60" w:line="360" w:lineRule="auto"/>
        <w:ind w:right="240"/>
        <w:outlineLvl w:val="3"/>
        <w:rPr>
          <w:rFonts w:ascii="Arial" w:hAnsi="Arial" w:cs="Arial"/>
          <w:color w:val="1F497D" w:themeColor="text2"/>
          <w:sz w:val="20"/>
          <w:szCs w:val="20"/>
        </w:rPr>
      </w:pPr>
    </w:p>
    <w:p w:rsidR="00CA5C24" w:rsidRDefault="002E4F92" w:rsidP="00515979">
      <w:pPr>
        <w:shd w:val="clear" w:color="auto" w:fill="FFFFFF"/>
        <w:spacing w:after="60" w:line="360" w:lineRule="auto"/>
        <w:ind w:right="240"/>
        <w:outlineLvl w:val="3"/>
        <w:rPr>
          <w:rFonts w:ascii="Arial" w:hAnsi="Arial" w:cs="Arial"/>
          <w:color w:val="000000"/>
          <w:sz w:val="20"/>
          <w:szCs w:val="20"/>
        </w:rPr>
      </w:pPr>
      <w:r w:rsidRPr="00CA5C24">
        <w:rPr>
          <w:rFonts w:ascii="Arial" w:hAnsi="Arial" w:cs="Arial"/>
          <w:sz w:val="20"/>
          <w:szCs w:val="20"/>
        </w:rPr>
        <w:t xml:space="preserve">Articles should be submitted </w:t>
      </w:r>
      <w:r w:rsidR="00B82162">
        <w:rPr>
          <w:rFonts w:ascii="Arial" w:hAnsi="Arial" w:cs="Arial"/>
          <w:sz w:val="20"/>
          <w:szCs w:val="20"/>
        </w:rPr>
        <w:t>through the Gateways online submission system</w:t>
      </w:r>
      <w:r w:rsidR="001A1DC0" w:rsidRPr="00CA5C24">
        <w:rPr>
          <w:rFonts w:ascii="Arial" w:hAnsi="Arial" w:cs="Arial"/>
          <w:sz w:val="20"/>
          <w:szCs w:val="20"/>
        </w:rPr>
        <w:t xml:space="preserve"> </w:t>
      </w:r>
      <w:r w:rsidRPr="00CA5C24">
        <w:rPr>
          <w:rFonts w:ascii="Arial" w:hAnsi="Arial" w:cs="Arial"/>
          <w:sz w:val="20"/>
          <w:szCs w:val="20"/>
        </w:rPr>
        <w:t xml:space="preserve">by Friday </w:t>
      </w:r>
      <w:r w:rsidR="00E96624">
        <w:rPr>
          <w:rFonts w:ascii="Arial" w:hAnsi="Arial" w:cs="Arial"/>
          <w:sz w:val="20"/>
          <w:szCs w:val="20"/>
        </w:rPr>
        <w:t>15 October</w:t>
      </w:r>
      <w:r w:rsidR="00CA5C24">
        <w:rPr>
          <w:rFonts w:ascii="Arial" w:hAnsi="Arial" w:cs="Arial"/>
          <w:b/>
          <w:sz w:val="20"/>
          <w:szCs w:val="20"/>
        </w:rPr>
        <w:t xml:space="preserve"> </w:t>
      </w:r>
      <w:r w:rsidR="00CA5C24" w:rsidRPr="00CA5C24">
        <w:rPr>
          <w:rFonts w:ascii="Arial" w:hAnsi="Arial" w:cs="Arial"/>
          <w:sz w:val="20"/>
          <w:szCs w:val="20"/>
        </w:rPr>
        <w:t>(s</w:t>
      </w:r>
      <w:r w:rsidR="001A1DC0" w:rsidRPr="00CA5C24">
        <w:rPr>
          <w:rFonts w:ascii="Arial" w:hAnsi="Arial" w:cs="Arial"/>
          <w:sz w:val="20"/>
          <w:szCs w:val="20"/>
        </w:rPr>
        <w:t>ee</w:t>
      </w:r>
      <w:r w:rsidR="001A1DC0" w:rsidRPr="001A1DC0">
        <w:rPr>
          <w:rFonts w:ascii="Arial" w:hAnsi="Arial" w:cs="Arial"/>
          <w:sz w:val="20"/>
          <w:szCs w:val="20"/>
        </w:rPr>
        <w:t xml:space="preserve"> Author Guidelines below</w:t>
      </w:r>
      <w:r w:rsidR="00CA5C24">
        <w:rPr>
          <w:rFonts w:ascii="Arial" w:hAnsi="Arial" w:cs="Arial"/>
          <w:sz w:val="20"/>
          <w:szCs w:val="20"/>
        </w:rPr>
        <w:t>)</w:t>
      </w:r>
      <w:r w:rsidR="001A1DC0">
        <w:rPr>
          <w:rFonts w:ascii="Arial" w:hAnsi="Arial" w:cs="Arial"/>
          <w:sz w:val="20"/>
          <w:szCs w:val="20"/>
        </w:rPr>
        <w:t>.</w:t>
      </w:r>
      <w:r w:rsidR="00515979" w:rsidRPr="00515979">
        <w:rPr>
          <w:rFonts w:ascii="Arial" w:hAnsi="Arial" w:cs="Arial"/>
          <w:color w:val="000000"/>
          <w:sz w:val="20"/>
          <w:szCs w:val="20"/>
        </w:rPr>
        <w:t xml:space="preserve"> </w:t>
      </w:r>
    </w:p>
    <w:p w:rsidR="004A1D7B" w:rsidRDefault="004A1D7B" w:rsidP="00515979">
      <w:pPr>
        <w:shd w:val="clear" w:color="auto" w:fill="FFFFFF"/>
        <w:spacing w:after="60" w:line="360" w:lineRule="auto"/>
        <w:ind w:right="240"/>
        <w:outlineLvl w:val="3"/>
        <w:rPr>
          <w:rFonts w:ascii="Arial" w:hAnsi="Arial" w:cs="Arial"/>
          <w:color w:val="000000"/>
          <w:sz w:val="20"/>
          <w:szCs w:val="20"/>
        </w:rPr>
      </w:pPr>
    </w:p>
    <w:p w:rsidR="00CA5C24" w:rsidRDefault="00515979" w:rsidP="007E6305">
      <w:pPr>
        <w:shd w:val="clear" w:color="auto" w:fill="FFFFFF"/>
        <w:spacing w:after="60" w:line="360" w:lineRule="auto"/>
        <w:ind w:right="240"/>
        <w:outlineLvl w:val="3"/>
        <w:rPr>
          <w:rFonts w:ascii="Arial" w:hAnsi="Arial" w:cs="Arial"/>
          <w:color w:val="1F497D" w:themeColor="text2"/>
          <w:sz w:val="20"/>
          <w:szCs w:val="20"/>
        </w:rPr>
      </w:pPr>
      <w:r w:rsidRPr="00CA5C24">
        <w:rPr>
          <w:rFonts w:ascii="Arial" w:hAnsi="Arial" w:cs="Arial"/>
          <w:b/>
          <w:color w:val="000000"/>
          <w:sz w:val="20"/>
          <w:szCs w:val="20"/>
        </w:rPr>
        <w:t>Preference will be given to articles co-written by community members and academics.</w:t>
      </w:r>
    </w:p>
    <w:p w:rsidR="00F60C44" w:rsidRDefault="00F60C44" w:rsidP="001F12E1">
      <w:pPr>
        <w:shd w:val="clear" w:color="auto" w:fill="FFFFFF"/>
        <w:spacing w:after="60" w:line="360" w:lineRule="auto"/>
        <w:ind w:right="240"/>
        <w:outlineLvl w:val="3"/>
        <w:rPr>
          <w:rFonts w:ascii="Arial" w:eastAsia="Times New Roman" w:hAnsi="Arial" w:cs="Arial"/>
          <w:b/>
          <w:color w:val="000000"/>
          <w:sz w:val="24"/>
          <w:szCs w:val="24"/>
          <w:lang w:eastAsia="en-GB"/>
        </w:rPr>
      </w:pPr>
    </w:p>
    <w:p w:rsidR="00283560" w:rsidRPr="00283560" w:rsidRDefault="00283560" w:rsidP="001F12E1">
      <w:pPr>
        <w:shd w:val="clear" w:color="auto" w:fill="FFFFFF"/>
        <w:spacing w:after="60" w:line="360" w:lineRule="auto"/>
        <w:ind w:right="240"/>
        <w:outlineLvl w:val="3"/>
        <w:rPr>
          <w:rFonts w:ascii="Arial" w:hAnsi="Arial" w:cs="Arial"/>
          <w:color w:val="1F497D" w:themeColor="text2"/>
          <w:sz w:val="20"/>
          <w:szCs w:val="20"/>
        </w:rPr>
      </w:pPr>
      <w:r w:rsidRPr="00283560">
        <w:rPr>
          <w:rFonts w:ascii="Arial" w:eastAsia="Times New Roman" w:hAnsi="Arial" w:cs="Arial"/>
          <w:b/>
          <w:color w:val="000000"/>
          <w:sz w:val="24"/>
          <w:szCs w:val="24"/>
          <w:lang w:eastAsia="en-GB"/>
        </w:rPr>
        <w:t>Author Guidelines</w:t>
      </w:r>
    </w:p>
    <w:p w:rsidR="00314415" w:rsidRDefault="00283560" w:rsidP="00B82162">
      <w:pPr>
        <w:shd w:val="clear" w:color="auto" w:fill="FFFFFF"/>
        <w:spacing w:after="0" w:line="360" w:lineRule="auto"/>
        <w:rPr>
          <w:rFonts w:ascii="Arial" w:eastAsia="Times New Roman" w:hAnsi="Arial" w:cs="Arial"/>
          <w:color w:val="000000"/>
          <w:sz w:val="20"/>
          <w:szCs w:val="20"/>
          <w:lang w:eastAsia="en-GB"/>
        </w:rPr>
      </w:pPr>
      <w:r w:rsidRPr="00283560">
        <w:rPr>
          <w:rFonts w:ascii="Arial" w:eastAsia="Times New Roman" w:hAnsi="Arial" w:cs="Arial"/>
          <w:color w:val="000000"/>
          <w:sz w:val="20"/>
          <w:szCs w:val="20"/>
          <w:lang w:eastAsia="en-GB"/>
        </w:rPr>
        <w:t>Acceptance of an article for publication in Gateways is made on condition that authors accept the parameters described in About the Journal</w:t>
      </w:r>
      <w:r w:rsidR="00314415">
        <w:rPr>
          <w:rFonts w:ascii="Arial" w:eastAsia="Times New Roman" w:hAnsi="Arial" w:cs="Arial"/>
          <w:color w:val="000000"/>
          <w:sz w:val="20"/>
          <w:szCs w:val="20"/>
          <w:lang w:eastAsia="en-GB"/>
        </w:rPr>
        <w:t xml:space="preserve"> </w:t>
      </w:r>
      <w:hyperlink r:id="rId8" w:history="1">
        <w:r w:rsidR="004A1D7B" w:rsidRPr="00BC1E8C">
          <w:rPr>
            <w:rStyle w:val="Hyperlink"/>
            <w:rFonts w:ascii="Arial" w:eastAsia="Times New Roman" w:hAnsi="Arial" w:cs="Arial"/>
            <w:sz w:val="20"/>
            <w:szCs w:val="20"/>
            <w:lang w:eastAsia="en-GB"/>
          </w:rPr>
          <w:t>http://epress.lib.uts.edu.au/ojs/index.php/ijcre/about</w:t>
        </w:r>
      </w:hyperlink>
      <w:r w:rsidR="004A1D7B">
        <w:rPr>
          <w:rFonts w:ascii="Arial" w:eastAsia="Times New Roman" w:hAnsi="Arial" w:cs="Arial"/>
          <w:color w:val="000000"/>
          <w:sz w:val="20"/>
          <w:szCs w:val="20"/>
          <w:lang w:eastAsia="en-GB"/>
        </w:rPr>
        <w:t xml:space="preserve"> </w:t>
      </w:r>
      <w:r w:rsidRPr="00283560">
        <w:rPr>
          <w:rFonts w:ascii="Arial" w:eastAsia="Times New Roman" w:hAnsi="Arial" w:cs="Arial"/>
          <w:color w:val="000000"/>
          <w:sz w:val="20"/>
          <w:szCs w:val="20"/>
          <w:lang w:eastAsia="en-GB"/>
        </w:rPr>
        <w:br/>
      </w:r>
      <w:r w:rsidRPr="00283560">
        <w:rPr>
          <w:rFonts w:ascii="Arial" w:eastAsia="Times New Roman" w:hAnsi="Arial" w:cs="Arial"/>
          <w:color w:val="000000"/>
          <w:sz w:val="20"/>
          <w:szCs w:val="20"/>
          <w:lang w:eastAsia="en-GB"/>
        </w:rPr>
        <w:br/>
        <w:t xml:space="preserve">Submitted articles must not be under consideration elsewhere and must be previously unpublished. Copyright for articles published in Gateways is retained by the authors, with first publication rights </w:t>
      </w:r>
      <w:r w:rsidR="00764B86">
        <w:rPr>
          <w:rFonts w:ascii="Arial" w:eastAsia="Times New Roman" w:hAnsi="Arial" w:cs="Arial"/>
          <w:color w:val="000000"/>
          <w:sz w:val="20"/>
          <w:szCs w:val="20"/>
          <w:lang w:eastAsia="en-GB"/>
        </w:rPr>
        <w:lastRenderedPageBreak/>
        <w:t xml:space="preserve">granted to the journal. </w:t>
      </w:r>
      <w:r w:rsidRPr="00283560">
        <w:rPr>
          <w:rFonts w:ascii="Arial" w:eastAsia="Times New Roman" w:hAnsi="Arial" w:cs="Arial"/>
          <w:color w:val="000000"/>
          <w:sz w:val="20"/>
          <w:szCs w:val="20"/>
          <w:lang w:eastAsia="en-GB"/>
        </w:rPr>
        <w:t>By virtue of their appearance in this open access journal, articles are free to use, with proper attribution, in educational and other non-commercial settings. The names and email addresses entered in Gateways site will be used exclusively for the stated purposes of this journal and will not be made available for any other purpose or to any other party.</w:t>
      </w:r>
      <w:r w:rsidRPr="00283560">
        <w:rPr>
          <w:rFonts w:ascii="Arial" w:eastAsia="Times New Roman" w:hAnsi="Arial" w:cs="Arial"/>
          <w:color w:val="000000"/>
          <w:sz w:val="20"/>
          <w:szCs w:val="20"/>
          <w:lang w:eastAsia="en-GB"/>
        </w:rPr>
        <w:br/>
      </w:r>
    </w:p>
    <w:p w:rsidR="00283560" w:rsidRPr="00F60C44" w:rsidRDefault="00283560" w:rsidP="00B82162">
      <w:pPr>
        <w:shd w:val="clear" w:color="auto" w:fill="FFFFFF"/>
        <w:spacing w:after="0" w:line="360" w:lineRule="auto"/>
        <w:rPr>
          <w:rFonts w:ascii="Arial" w:eastAsia="Times New Roman" w:hAnsi="Arial" w:cs="Arial"/>
          <w:b/>
          <w:bCs/>
          <w:color w:val="000000"/>
          <w:sz w:val="20"/>
          <w:szCs w:val="20"/>
          <w:lang w:eastAsia="en-GB"/>
        </w:rPr>
      </w:pPr>
      <w:r w:rsidRPr="00283560">
        <w:rPr>
          <w:rFonts w:ascii="Arial" w:eastAsia="Times New Roman" w:hAnsi="Arial" w:cs="Arial"/>
          <w:color w:val="000000"/>
          <w:sz w:val="20"/>
          <w:szCs w:val="20"/>
          <w:lang w:eastAsia="en-GB"/>
        </w:rPr>
        <w:t>Accepted articles, when in final form, are assigned to an issue of Gateways, copy edited and formatted for publication. On the date of publication, the issue will be announced and subscribers notified. Subscribers can read articles as published or retrieve them later through searches.</w:t>
      </w:r>
      <w:r w:rsidRPr="00283560">
        <w:rPr>
          <w:rFonts w:ascii="Arial" w:eastAsia="Times New Roman" w:hAnsi="Arial" w:cs="Arial"/>
          <w:color w:val="000000"/>
          <w:sz w:val="20"/>
          <w:szCs w:val="20"/>
          <w:lang w:eastAsia="en-GB"/>
        </w:rPr>
        <w:br/>
        <w:t>Articles will generally be between 4000 and 7500 words in length including references and should use the Harvard style of referencing as outlined below.</w:t>
      </w:r>
      <w:r w:rsidRPr="00283560">
        <w:rPr>
          <w:rFonts w:ascii="Arial" w:eastAsia="Times New Roman" w:hAnsi="Arial" w:cs="Arial"/>
          <w:color w:val="000000"/>
          <w:sz w:val="20"/>
          <w:szCs w:val="20"/>
          <w:lang w:eastAsia="en-GB"/>
        </w:rPr>
        <w:br/>
      </w:r>
      <w:r w:rsidRPr="00283560">
        <w:rPr>
          <w:rFonts w:ascii="Arial" w:eastAsia="Times New Roman" w:hAnsi="Arial" w:cs="Arial"/>
          <w:color w:val="000000"/>
          <w:sz w:val="20"/>
          <w:szCs w:val="20"/>
          <w:lang w:eastAsia="en-GB"/>
        </w:rPr>
        <w:br/>
        <w:t>Articles must be in English. Australian, British or American spelling is acceptable.</w:t>
      </w:r>
      <w:r w:rsidRPr="00283560">
        <w:rPr>
          <w:rFonts w:ascii="Arial" w:eastAsia="Times New Roman" w:hAnsi="Arial" w:cs="Arial"/>
          <w:color w:val="000000"/>
          <w:sz w:val="20"/>
          <w:szCs w:val="20"/>
          <w:lang w:eastAsia="en-GB"/>
        </w:rPr>
        <w:br/>
        <w:t>All articles must be accompanied by an abstract of up to 300 words and a list of up to six key words.</w:t>
      </w:r>
      <w:r w:rsidRPr="00283560">
        <w:rPr>
          <w:rFonts w:ascii="Arial" w:eastAsia="Times New Roman" w:hAnsi="Arial" w:cs="Arial"/>
          <w:color w:val="000000"/>
          <w:sz w:val="20"/>
          <w:szCs w:val="20"/>
          <w:lang w:eastAsia="en-GB"/>
        </w:rPr>
        <w:br/>
      </w:r>
      <w:r w:rsidRPr="00283560">
        <w:rPr>
          <w:rFonts w:ascii="Arial" w:eastAsia="Times New Roman" w:hAnsi="Arial" w:cs="Arial"/>
          <w:color w:val="000000"/>
          <w:sz w:val="20"/>
          <w:szCs w:val="20"/>
          <w:lang w:eastAsia="en-GB"/>
        </w:rPr>
        <w:br/>
      </w:r>
      <w:r w:rsidRPr="00F60C44">
        <w:rPr>
          <w:rFonts w:ascii="Arial" w:eastAsia="Times New Roman" w:hAnsi="Arial" w:cs="Arial"/>
          <w:b/>
          <w:bCs/>
          <w:color w:val="000000"/>
          <w:sz w:val="20"/>
          <w:szCs w:val="20"/>
          <w:lang w:eastAsia="en-GB"/>
        </w:rPr>
        <w:t>Submission Format</w:t>
      </w:r>
    </w:p>
    <w:p w:rsidR="001A1DC0" w:rsidRPr="00F60C44" w:rsidRDefault="00856164" w:rsidP="00B82162">
      <w:pPr>
        <w:shd w:val="clear" w:color="auto" w:fill="FFFFFF"/>
        <w:spacing w:after="0" w:line="360" w:lineRule="auto"/>
        <w:rPr>
          <w:rFonts w:ascii="Arial" w:eastAsia="Times New Roman" w:hAnsi="Arial" w:cs="Arial"/>
          <w:bCs/>
          <w:color w:val="000000"/>
          <w:sz w:val="20"/>
          <w:szCs w:val="20"/>
          <w:lang w:eastAsia="en-GB"/>
        </w:rPr>
      </w:pPr>
      <w:r w:rsidRPr="00F60C44">
        <w:rPr>
          <w:rFonts w:ascii="Arial" w:eastAsia="Times New Roman" w:hAnsi="Arial" w:cs="Arial"/>
          <w:bCs/>
          <w:color w:val="000000"/>
          <w:sz w:val="20"/>
          <w:szCs w:val="20"/>
          <w:lang w:eastAsia="en-GB"/>
        </w:rPr>
        <w:t xml:space="preserve">Articles should follow the submission format of the journal. </w:t>
      </w:r>
    </w:p>
    <w:p w:rsidR="00283560" w:rsidRPr="00F60C44" w:rsidRDefault="00856164" w:rsidP="00B82162">
      <w:pPr>
        <w:shd w:val="clear" w:color="auto" w:fill="FFFFFF"/>
        <w:spacing w:after="0" w:line="360" w:lineRule="auto"/>
        <w:rPr>
          <w:rFonts w:ascii="Arial" w:eastAsia="Times New Roman" w:hAnsi="Arial" w:cs="Arial"/>
          <w:color w:val="000000"/>
          <w:sz w:val="20"/>
          <w:szCs w:val="20"/>
          <w:lang w:eastAsia="en-GB"/>
        </w:rPr>
      </w:pPr>
      <w:r w:rsidRPr="00F60C44">
        <w:rPr>
          <w:rFonts w:ascii="Arial" w:eastAsia="Times New Roman" w:hAnsi="Arial" w:cs="Arial"/>
          <w:bCs/>
          <w:color w:val="000000"/>
          <w:sz w:val="20"/>
          <w:szCs w:val="20"/>
          <w:lang w:eastAsia="en-GB"/>
        </w:rPr>
        <w:t>See:</w:t>
      </w:r>
      <w:r w:rsidR="001A1DC0" w:rsidRPr="00F60C44">
        <w:rPr>
          <w:rFonts w:ascii="Arial" w:eastAsia="Times New Roman" w:hAnsi="Arial" w:cs="Arial"/>
          <w:color w:val="000000"/>
          <w:sz w:val="20"/>
          <w:szCs w:val="20"/>
          <w:lang w:eastAsia="en-GB"/>
        </w:rPr>
        <w:t xml:space="preserve"> </w:t>
      </w:r>
      <w:hyperlink r:id="rId9" w:anchor="authorGuidelines" w:history="1">
        <w:r w:rsidR="00283560" w:rsidRPr="00F60C44">
          <w:rPr>
            <w:rStyle w:val="Hyperlink"/>
            <w:rFonts w:ascii="Arial" w:hAnsi="Arial" w:cs="Arial"/>
            <w:sz w:val="20"/>
            <w:szCs w:val="20"/>
          </w:rPr>
          <w:t>http://epress.lib.uts.edu.au/ojs/index.php/ijcre/about/submissions#authorGuidelines</w:t>
        </w:r>
      </w:hyperlink>
      <w:r w:rsidR="00283560" w:rsidRPr="00F60C44">
        <w:rPr>
          <w:sz w:val="20"/>
          <w:szCs w:val="20"/>
        </w:rPr>
        <w:t xml:space="preserve"> </w:t>
      </w:r>
    </w:p>
    <w:p w:rsidR="00515979" w:rsidRPr="00F60C44" w:rsidRDefault="00515979" w:rsidP="00B82162">
      <w:pPr>
        <w:spacing w:after="0" w:line="360" w:lineRule="auto"/>
        <w:rPr>
          <w:rFonts w:ascii="Arial" w:hAnsi="Arial" w:cs="Arial"/>
          <w:sz w:val="20"/>
          <w:szCs w:val="20"/>
        </w:rPr>
      </w:pPr>
      <w:r w:rsidRPr="00F60C44">
        <w:rPr>
          <w:rFonts w:ascii="Arial" w:hAnsi="Arial" w:cs="Arial"/>
          <w:sz w:val="20"/>
          <w:szCs w:val="20"/>
        </w:rPr>
        <w:t>Please note that papers intended for refereeing should adhere to the normal academic standards such as the provision of a fully referenced bibliography.</w:t>
      </w:r>
      <w:r w:rsidR="00B82162">
        <w:rPr>
          <w:rFonts w:ascii="Arial" w:hAnsi="Arial" w:cs="Arial"/>
          <w:sz w:val="20"/>
          <w:szCs w:val="20"/>
        </w:rPr>
        <w:t xml:space="preserve"> </w:t>
      </w:r>
      <w:r w:rsidR="00CA5C24" w:rsidRPr="00F60C44">
        <w:rPr>
          <w:rFonts w:ascii="Arial" w:hAnsi="Arial" w:cs="Arial"/>
          <w:sz w:val="20"/>
          <w:szCs w:val="20"/>
        </w:rPr>
        <w:t xml:space="preserve">The editors are happy to discuss with authors the submission of </w:t>
      </w:r>
      <w:r w:rsidRPr="00F60C44">
        <w:rPr>
          <w:rFonts w:ascii="Arial" w:hAnsi="Arial" w:cs="Arial"/>
          <w:sz w:val="20"/>
          <w:szCs w:val="20"/>
        </w:rPr>
        <w:t>non-refereed papers (such as fi</w:t>
      </w:r>
      <w:r w:rsidR="00CA5C24" w:rsidRPr="00F60C44">
        <w:rPr>
          <w:rFonts w:ascii="Arial" w:hAnsi="Arial" w:cs="Arial"/>
          <w:sz w:val="20"/>
          <w:szCs w:val="20"/>
        </w:rPr>
        <w:t>el</w:t>
      </w:r>
      <w:r w:rsidRPr="00F60C44">
        <w:rPr>
          <w:rFonts w:ascii="Arial" w:hAnsi="Arial" w:cs="Arial"/>
          <w:sz w:val="20"/>
          <w:szCs w:val="20"/>
        </w:rPr>
        <w:t>d reports)</w:t>
      </w:r>
      <w:r w:rsidR="00CA5C24" w:rsidRPr="00F60C44">
        <w:rPr>
          <w:rFonts w:ascii="Arial" w:hAnsi="Arial" w:cs="Arial"/>
          <w:sz w:val="20"/>
          <w:szCs w:val="20"/>
        </w:rPr>
        <w:t>.</w:t>
      </w:r>
    </w:p>
    <w:p w:rsidR="00283560" w:rsidRDefault="0083080A" w:rsidP="00B82162">
      <w:pPr>
        <w:spacing w:after="0" w:line="360" w:lineRule="auto"/>
        <w:rPr>
          <w:rFonts w:ascii="Arial" w:hAnsi="Arial" w:cs="Arial"/>
          <w:sz w:val="20"/>
          <w:szCs w:val="20"/>
        </w:rPr>
      </w:pPr>
      <w:r w:rsidRPr="00F60C44">
        <w:rPr>
          <w:rFonts w:ascii="Arial" w:hAnsi="Arial" w:cs="Arial"/>
          <w:sz w:val="20"/>
          <w:szCs w:val="20"/>
        </w:rPr>
        <w:t xml:space="preserve">Articles should be submitted </w:t>
      </w:r>
      <w:r w:rsidR="00B82162">
        <w:rPr>
          <w:rFonts w:ascii="Arial" w:hAnsi="Arial" w:cs="Arial"/>
          <w:sz w:val="20"/>
          <w:szCs w:val="20"/>
        </w:rPr>
        <w:t>through the Gateways online submission system</w:t>
      </w:r>
      <w:r w:rsidRPr="00F60C44">
        <w:rPr>
          <w:rFonts w:ascii="Arial" w:hAnsi="Arial" w:cs="Arial"/>
          <w:sz w:val="20"/>
          <w:szCs w:val="20"/>
        </w:rPr>
        <w:t xml:space="preserve"> by midnight Friday </w:t>
      </w:r>
      <w:r w:rsidR="00E96624">
        <w:rPr>
          <w:rFonts w:ascii="Arial" w:hAnsi="Arial" w:cs="Arial"/>
          <w:sz w:val="20"/>
          <w:szCs w:val="20"/>
        </w:rPr>
        <w:t>15</w:t>
      </w:r>
      <w:r w:rsidR="00910EE0">
        <w:rPr>
          <w:rFonts w:ascii="Arial" w:hAnsi="Arial" w:cs="Arial"/>
          <w:sz w:val="20"/>
          <w:szCs w:val="20"/>
        </w:rPr>
        <w:t xml:space="preserve"> October </w:t>
      </w:r>
      <w:r w:rsidR="00910EE0" w:rsidRPr="00F60C44">
        <w:rPr>
          <w:rFonts w:ascii="Arial" w:hAnsi="Arial" w:cs="Arial"/>
          <w:sz w:val="20"/>
          <w:szCs w:val="20"/>
        </w:rPr>
        <w:t>(</w:t>
      </w:r>
      <w:r w:rsidRPr="00F60C44">
        <w:rPr>
          <w:rFonts w:ascii="Arial" w:hAnsi="Arial" w:cs="Arial"/>
          <w:sz w:val="20"/>
          <w:szCs w:val="20"/>
        </w:rPr>
        <w:t>BST)</w:t>
      </w:r>
      <w:r w:rsidR="00910EE0">
        <w:rPr>
          <w:rFonts w:ascii="Arial" w:hAnsi="Arial" w:cs="Arial"/>
          <w:sz w:val="20"/>
          <w:szCs w:val="20"/>
        </w:rPr>
        <w:t>.</w:t>
      </w:r>
      <w:r w:rsidR="00B82162">
        <w:rPr>
          <w:rFonts w:ascii="Arial" w:hAnsi="Arial" w:cs="Arial"/>
          <w:sz w:val="20"/>
          <w:szCs w:val="20"/>
        </w:rPr>
        <w:t xml:space="preserve"> </w:t>
      </w:r>
      <w:r w:rsidR="001A50EC">
        <w:rPr>
          <w:rFonts w:ascii="Arial" w:hAnsi="Arial" w:cs="Arial"/>
          <w:sz w:val="20"/>
          <w:szCs w:val="20"/>
        </w:rPr>
        <w:t>Authors</w:t>
      </w:r>
      <w:r w:rsidR="00B82162">
        <w:rPr>
          <w:rFonts w:ascii="Arial" w:hAnsi="Arial" w:cs="Arial"/>
          <w:sz w:val="20"/>
          <w:szCs w:val="20"/>
        </w:rPr>
        <w:t xml:space="preserve"> need to register with the journal prior to submitting: </w:t>
      </w:r>
      <w:hyperlink r:id="rId10" w:history="1">
        <w:r w:rsidR="00B82162" w:rsidRPr="004E5AA0">
          <w:rPr>
            <w:rStyle w:val="Hyperlink"/>
            <w:rFonts w:ascii="Arial" w:hAnsi="Arial" w:cs="Arial"/>
            <w:sz w:val="20"/>
            <w:szCs w:val="20"/>
          </w:rPr>
          <w:t>http://epress.lib.uts.edu.au/ojs/index.php/ijcre/user/register</w:t>
        </w:r>
      </w:hyperlink>
      <w:r w:rsidR="00B82162">
        <w:rPr>
          <w:rFonts w:ascii="Arial" w:hAnsi="Arial" w:cs="Arial"/>
          <w:sz w:val="20"/>
          <w:szCs w:val="20"/>
        </w:rPr>
        <w:t xml:space="preserve"> </w:t>
      </w:r>
    </w:p>
    <w:p w:rsidR="00B82162" w:rsidRDefault="00764B86" w:rsidP="00B82162">
      <w:pPr>
        <w:spacing w:after="0" w:line="360" w:lineRule="auto"/>
        <w:rPr>
          <w:rFonts w:ascii="Arial" w:hAnsi="Arial" w:cs="Arial"/>
          <w:sz w:val="20"/>
          <w:szCs w:val="20"/>
        </w:rPr>
      </w:pPr>
      <w:r>
        <w:rPr>
          <w:rFonts w:ascii="Arial" w:hAnsi="Arial" w:cs="Arial"/>
          <w:sz w:val="20"/>
          <w:szCs w:val="20"/>
        </w:rPr>
        <w:t>Initial</w:t>
      </w:r>
      <w:r w:rsidR="00B82162">
        <w:rPr>
          <w:rFonts w:ascii="Arial" w:hAnsi="Arial" w:cs="Arial"/>
          <w:sz w:val="20"/>
          <w:szCs w:val="20"/>
        </w:rPr>
        <w:t xml:space="preserve"> queries should be directed to Simon Northmore </w:t>
      </w:r>
      <w:hyperlink r:id="rId11" w:history="1">
        <w:r w:rsidR="00B82162" w:rsidRPr="004E5AA0">
          <w:rPr>
            <w:rStyle w:val="Hyperlink"/>
            <w:rFonts w:ascii="Arial" w:hAnsi="Arial" w:cs="Arial"/>
            <w:sz w:val="20"/>
            <w:szCs w:val="20"/>
          </w:rPr>
          <w:t>S.R.Northmore@brighton.ac.uk</w:t>
        </w:r>
      </w:hyperlink>
      <w:r w:rsidR="00B82162">
        <w:rPr>
          <w:rFonts w:ascii="Arial" w:hAnsi="Arial" w:cs="Arial"/>
          <w:sz w:val="20"/>
          <w:szCs w:val="20"/>
        </w:rPr>
        <w:t xml:space="preserve"> </w:t>
      </w:r>
    </w:p>
    <w:p w:rsidR="00764B86" w:rsidRDefault="00764B86" w:rsidP="00B82162">
      <w:pPr>
        <w:tabs>
          <w:tab w:val="left" w:pos="3533"/>
        </w:tabs>
        <w:spacing w:after="0" w:line="240" w:lineRule="auto"/>
        <w:rPr>
          <w:rFonts w:ascii="Arial" w:hAnsi="Arial" w:cs="Arial"/>
          <w:b/>
          <w:sz w:val="20"/>
          <w:szCs w:val="20"/>
        </w:rPr>
      </w:pPr>
    </w:p>
    <w:p w:rsidR="004A1D7B" w:rsidRDefault="004A1D7B" w:rsidP="00B82162">
      <w:pPr>
        <w:tabs>
          <w:tab w:val="left" w:pos="3533"/>
        </w:tabs>
        <w:spacing w:after="0" w:line="240" w:lineRule="auto"/>
        <w:rPr>
          <w:rFonts w:ascii="Arial" w:hAnsi="Arial" w:cs="Arial"/>
          <w:b/>
          <w:sz w:val="20"/>
          <w:szCs w:val="20"/>
        </w:rPr>
      </w:pPr>
      <w:r>
        <w:rPr>
          <w:rFonts w:ascii="Arial" w:hAnsi="Arial" w:cs="Arial"/>
          <w:b/>
          <w:sz w:val="20"/>
          <w:szCs w:val="20"/>
        </w:rPr>
        <w:t>References</w:t>
      </w:r>
      <w:r w:rsidR="00B82162">
        <w:rPr>
          <w:rFonts w:ascii="Arial" w:hAnsi="Arial" w:cs="Arial"/>
          <w:b/>
          <w:sz w:val="20"/>
          <w:szCs w:val="20"/>
        </w:rPr>
        <w:tab/>
      </w:r>
    </w:p>
    <w:p w:rsidR="00A43F5A" w:rsidRPr="00A43F5A" w:rsidRDefault="00A43F5A" w:rsidP="00E07145">
      <w:pPr>
        <w:spacing w:after="0" w:line="240" w:lineRule="auto"/>
        <w:rPr>
          <w:rFonts w:ascii="Arial" w:hAnsi="Arial" w:cs="Arial"/>
          <w:color w:val="000000"/>
          <w:sz w:val="20"/>
          <w:szCs w:val="20"/>
        </w:rPr>
      </w:pPr>
      <w:r w:rsidRPr="00A43F5A">
        <w:rPr>
          <w:rFonts w:ascii="Arial" w:hAnsi="Arial" w:cs="Arial"/>
          <w:color w:val="000000"/>
          <w:sz w:val="20"/>
          <w:szCs w:val="20"/>
        </w:rPr>
        <w:t xml:space="preserve">Castillo, A., </w:t>
      </w:r>
      <w:r w:rsidR="00706342">
        <w:rPr>
          <w:rFonts w:ascii="Arial" w:hAnsi="Arial" w:cs="Arial"/>
          <w:color w:val="000000"/>
          <w:sz w:val="20"/>
          <w:szCs w:val="20"/>
        </w:rPr>
        <w:t>A.</w:t>
      </w:r>
      <w:r w:rsidR="00706342" w:rsidRPr="00A43F5A">
        <w:rPr>
          <w:rFonts w:ascii="Arial" w:hAnsi="Arial" w:cs="Arial"/>
          <w:color w:val="000000"/>
          <w:sz w:val="20"/>
          <w:szCs w:val="20"/>
        </w:rPr>
        <w:t xml:space="preserve"> Torres</w:t>
      </w:r>
      <w:r w:rsidRPr="00A43F5A">
        <w:rPr>
          <w:rFonts w:ascii="Arial" w:hAnsi="Arial" w:cs="Arial"/>
          <w:color w:val="000000"/>
          <w:sz w:val="20"/>
          <w:szCs w:val="20"/>
        </w:rPr>
        <w:t xml:space="preserve">, </w:t>
      </w:r>
      <w:r w:rsidR="00706342">
        <w:rPr>
          <w:rFonts w:ascii="Arial" w:hAnsi="Arial" w:cs="Arial"/>
          <w:color w:val="000000"/>
          <w:sz w:val="20"/>
          <w:szCs w:val="20"/>
        </w:rPr>
        <w:t>G. Velázquez</w:t>
      </w:r>
      <w:r w:rsidRPr="00A43F5A">
        <w:rPr>
          <w:rFonts w:ascii="Arial" w:hAnsi="Arial" w:cs="Arial"/>
          <w:color w:val="000000"/>
          <w:sz w:val="20"/>
          <w:szCs w:val="20"/>
        </w:rPr>
        <w:t xml:space="preserve"> and </w:t>
      </w:r>
      <w:r w:rsidR="00706342">
        <w:rPr>
          <w:rFonts w:ascii="Arial" w:hAnsi="Arial" w:cs="Arial"/>
          <w:color w:val="000000"/>
          <w:sz w:val="20"/>
          <w:szCs w:val="20"/>
        </w:rPr>
        <w:t xml:space="preserve">G. </w:t>
      </w:r>
      <w:r w:rsidRPr="00A43F5A">
        <w:rPr>
          <w:rFonts w:ascii="Arial" w:hAnsi="Arial" w:cs="Arial"/>
          <w:color w:val="000000"/>
          <w:sz w:val="20"/>
          <w:szCs w:val="20"/>
        </w:rPr>
        <w:t xml:space="preserve">Bocco (2005) The Use of Ecological Science by Rural Producers: A Case Study in Mexico. </w:t>
      </w:r>
      <w:r w:rsidRPr="00A43F5A">
        <w:rPr>
          <w:rFonts w:ascii="Arial" w:hAnsi="Arial" w:cs="Arial"/>
          <w:i/>
          <w:color w:val="000000"/>
          <w:sz w:val="20"/>
          <w:szCs w:val="20"/>
        </w:rPr>
        <w:t>Ecological Applications,</w:t>
      </w:r>
      <w:r>
        <w:rPr>
          <w:rFonts w:ascii="Arial" w:hAnsi="Arial" w:cs="Arial"/>
          <w:color w:val="000000"/>
          <w:sz w:val="20"/>
          <w:szCs w:val="20"/>
        </w:rPr>
        <w:t xml:space="preserve"> 30 (</w:t>
      </w:r>
      <w:r w:rsidRPr="00A43F5A">
        <w:rPr>
          <w:rFonts w:ascii="Arial" w:hAnsi="Arial" w:cs="Arial"/>
          <w:color w:val="000000"/>
          <w:sz w:val="20"/>
          <w:szCs w:val="20"/>
        </w:rPr>
        <w:t>2</w:t>
      </w:r>
      <w:r>
        <w:rPr>
          <w:rFonts w:ascii="Arial" w:hAnsi="Arial" w:cs="Arial"/>
          <w:color w:val="000000"/>
          <w:sz w:val="20"/>
          <w:szCs w:val="20"/>
        </w:rPr>
        <w:t xml:space="preserve">): </w:t>
      </w:r>
      <w:r w:rsidRPr="00A43F5A">
        <w:rPr>
          <w:rFonts w:ascii="Arial" w:hAnsi="Arial" w:cs="Arial"/>
          <w:color w:val="000000"/>
          <w:sz w:val="20"/>
          <w:szCs w:val="20"/>
        </w:rPr>
        <w:t>745-756</w:t>
      </w:r>
      <w:r>
        <w:rPr>
          <w:rFonts w:ascii="Arial" w:hAnsi="Arial" w:cs="Arial"/>
          <w:color w:val="000000"/>
          <w:sz w:val="20"/>
          <w:szCs w:val="20"/>
        </w:rPr>
        <w:t>.</w:t>
      </w:r>
    </w:p>
    <w:p w:rsidR="00A43F5A" w:rsidRPr="00A43F5A" w:rsidRDefault="00A43F5A" w:rsidP="00E07145">
      <w:pPr>
        <w:spacing w:after="0" w:line="240" w:lineRule="auto"/>
        <w:rPr>
          <w:rFonts w:ascii="Arial" w:hAnsi="Arial" w:cs="Arial"/>
          <w:color w:val="000000"/>
          <w:sz w:val="20"/>
          <w:szCs w:val="20"/>
        </w:rPr>
      </w:pPr>
      <w:r w:rsidRPr="00A43F5A">
        <w:rPr>
          <w:rFonts w:ascii="Arial" w:hAnsi="Arial" w:cs="Arial"/>
          <w:color w:val="000000"/>
          <w:sz w:val="20"/>
          <w:szCs w:val="20"/>
        </w:rPr>
        <w:t>Fielden, S. J., M. L. Rusch, M. T. Masinda, J. San</w:t>
      </w:r>
      <w:r w:rsidR="00706342">
        <w:rPr>
          <w:rFonts w:ascii="Arial" w:hAnsi="Arial" w:cs="Arial"/>
          <w:color w:val="000000"/>
          <w:sz w:val="20"/>
          <w:szCs w:val="20"/>
        </w:rPr>
        <w:t>ds, J. L. Frankish, and B. Evoy</w:t>
      </w:r>
      <w:r w:rsidRPr="00A43F5A">
        <w:rPr>
          <w:rFonts w:ascii="Arial" w:hAnsi="Arial" w:cs="Arial"/>
          <w:color w:val="000000"/>
          <w:sz w:val="20"/>
          <w:szCs w:val="20"/>
        </w:rPr>
        <w:t xml:space="preserve"> </w:t>
      </w:r>
      <w:r>
        <w:rPr>
          <w:rFonts w:ascii="Arial" w:hAnsi="Arial" w:cs="Arial"/>
          <w:color w:val="000000"/>
          <w:sz w:val="20"/>
          <w:szCs w:val="20"/>
        </w:rPr>
        <w:t>(2007)</w:t>
      </w:r>
      <w:r w:rsidRPr="00A43F5A">
        <w:rPr>
          <w:rFonts w:ascii="Arial" w:hAnsi="Arial" w:cs="Arial"/>
          <w:color w:val="000000"/>
          <w:sz w:val="20"/>
          <w:szCs w:val="20"/>
        </w:rPr>
        <w:t xml:space="preserve"> Key considerations for logic model development in research partnerships: A Canadian case study. </w:t>
      </w:r>
      <w:r w:rsidRPr="00A43F5A">
        <w:rPr>
          <w:rFonts w:ascii="Arial" w:hAnsi="Arial" w:cs="Arial"/>
          <w:i/>
          <w:iCs/>
          <w:color w:val="000000"/>
          <w:sz w:val="20"/>
          <w:szCs w:val="20"/>
        </w:rPr>
        <w:t xml:space="preserve">Evaluation and Program Planning </w:t>
      </w:r>
      <w:r w:rsidRPr="00A43F5A">
        <w:rPr>
          <w:rFonts w:ascii="Arial" w:hAnsi="Arial" w:cs="Arial"/>
          <w:color w:val="000000"/>
          <w:sz w:val="20"/>
          <w:szCs w:val="20"/>
        </w:rPr>
        <w:t>30 (2): 115–24.</w:t>
      </w:r>
    </w:p>
    <w:p w:rsidR="00A43F5A" w:rsidRPr="00A43F5A" w:rsidRDefault="00706342" w:rsidP="00E07145">
      <w:pPr>
        <w:spacing w:after="0" w:line="240" w:lineRule="auto"/>
        <w:rPr>
          <w:rFonts w:ascii="Arial" w:hAnsi="Arial" w:cs="Arial"/>
          <w:b/>
          <w:sz w:val="20"/>
          <w:szCs w:val="20"/>
        </w:rPr>
      </w:pPr>
      <w:r>
        <w:rPr>
          <w:rFonts w:ascii="Arial" w:hAnsi="Arial" w:cs="Arial"/>
          <w:color w:val="000000"/>
          <w:sz w:val="20"/>
          <w:szCs w:val="20"/>
        </w:rPr>
        <w:t>Fogel, S. J., and J. R. Cook (2006)</w:t>
      </w:r>
      <w:r w:rsidR="00A43F5A" w:rsidRPr="00A43F5A">
        <w:rPr>
          <w:rFonts w:ascii="Arial" w:hAnsi="Arial" w:cs="Arial"/>
          <w:color w:val="000000"/>
          <w:sz w:val="20"/>
          <w:szCs w:val="20"/>
        </w:rPr>
        <w:t xml:space="preserve"> Considerations on the scholarship of engage</w:t>
      </w:r>
      <w:r w:rsidR="00A43F5A" w:rsidRPr="00A43F5A">
        <w:rPr>
          <w:rFonts w:ascii="Arial" w:hAnsi="Arial" w:cs="Arial"/>
          <w:color w:val="000000"/>
          <w:sz w:val="20"/>
          <w:szCs w:val="20"/>
        </w:rPr>
        <w:softHyphen/>
        <w:t xml:space="preserve">ment as an area of specialization for faculty. </w:t>
      </w:r>
      <w:r w:rsidR="00A43F5A" w:rsidRPr="00A43F5A">
        <w:rPr>
          <w:rFonts w:ascii="Arial" w:hAnsi="Arial" w:cs="Arial"/>
          <w:i/>
          <w:iCs/>
          <w:color w:val="000000"/>
          <w:sz w:val="20"/>
          <w:szCs w:val="20"/>
        </w:rPr>
        <w:t xml:space="preserve">Journal of Social Work Education </w:t>
      </w:r>
      <w:r w:rsidR="00A43F5A" w:rsidRPr="00A43F5A">
        <w:rPr>
          <w:rFonts w:ascii="Arial" w:hAnsi="Arial" w:cs="Arial"/>
          <w:color w:val="000000"/>
          <w:sz w:val="20"/>
          <w:szCs w:val="20"/>
        </w:rPr>
        <w:t>42 (3): 595–607.</w:t>
      </w:r>
    </w:p>
    <w:p w:rsidR="004A1D7B" w:rsidRPr="00A43F5A" w:rsidRDefault="004A1D7B" w:rsidP="00E07145">
      <w:pPr>
        <w:spacing w:after="0" w:line="240" w:lineRule="auto"/>
        <w:rPr>
          <w:rFonts w:ascii="Arial" w:hAnsi="Arial" w:cs="Arial"/>
          <w:sz w:val="20"/>
          <w:szCs w:val="20"/>
        </w:rPr>
      </w:pPr>
      <w:r w:rsidRPr="00A43F5A">
        <w:rPr>
          <w:rFonts w:ascii="Arial" w:hAnsi="Arial" w:cs="Arial"/>
          <w:sz w:val="20"/>
          <w:szCs w:val="20"/>
        </w:rPr>
        <w:t>Grainger,</w:t>
      </w:r>
      <w:r w:rsidR="00706342">
        <w:rPr>
          <w:rFonts w:ascii="Arial" w:hAnsi="Arial" w:cs="Arial"/>
          <w:sz w:val="20"/>
          <w:szCs w:val="20"/>
        </w:rPr>
        <w:t xml:space="preserve"> S., E. Sherry and G. Fondahl (2006) </w:t>
      </w:r>
      <w:r w:rsidRPr="00A43F5A">
        <w:rPr>
          <w:rFonts w:ascii="Arial" w:hAnsi="Arial" w:cs="Arial"/>
          <w:sz w:val="20"/>
          <w:szCs w:val="20"/>
        </w:rPr>
        <w:t>The John Prince Research Forest: Evolution of a co-management partnership in northern British Columbia.</w:t>
      </w:r>
      <w:r w:rsidR="00706342">
        <w:rPr>
          <w:rFonts w:ascii="Arial" w:hAnsi="Arial" w:cs="Arial"/>
          <w:sz w:val="20"/>
          <w:szCs w:val="20"/>
        </w:rPr>
        <w:t xml:space="preserve"> </w:t>
      </w:r>
      <w:r w:rsidRPr="00706342">
        <w:rPr>
          <w:rFonts w:ascii="Arial" w:hAnsi="Arial" w:cs="Arial"/>
          <w:i/>
          <w:sz w:val="20"/>
          <w:szCs w:val="20"/>
        </w:rPr>
        <w:t>Forestry Chronicle</w:t>
      </w:r>
      <w:r w:rsidRPr="00A43F5A">
        <w:rPr>
          <w:rFonts w:ascii="Arial" w:hAnsi="Arial" w:cs="Arial"/>
          <w:sz w:val="20"/>
          <w:szCs w:val="20"/>
        </w:rPr>
        <w:t xml:space="preserve"> </w:t>
      </w:r>
      <w:r w:rsidRPr="00706342">
        <w:rPr>
          <w:rFonts w:ascii="Arial" w:hAnsi="Arial" w:cs="Arial"/>
          <w:bCs/>
          <w:sz w:val="20"/>
          <w:szCs w:val="20"/>
        </w:rPr>
        <w:t>82</w:t>
      </w:r>
      <w:r w:rsidRPr="00706342">
        <w:rPr>
          <w:rFonts w:ascii="Arial" w:hAnsi="Arial" w:cs="Arial"/>
          <w:sz w:val="20"/>
          <w:szCs w:val="20"/>
        </w:rPr>
        <w:t>(</w:t>
      </w:r>
      <w:r w:rsidRPr="00A43F5A">
        <w:rPr>
          <w:rFonts w:ascii="Arial" w:hAnsi="Arial" w:cs="Arial"/>
          <w:sz w:val="20"/>
          <w:szCs w:val="20"/>
        </w:rPr>
        <w:t>4): 484-495.</w:t>
      </w:r>
    </w:p>
    <w:p w:rsidR="00A43F5A" w:rsidRPr="00A43F5A" w:rsidRDefault="00706342" w:rsidP="00E07145">
      <w:pPr>
        <w:spacing w:after="0" w:line="240" w:lineRule="auto"/>
        <w:rPr>
          <w:rFonts w:ascii="Arial" w:hAnsi="Arial" w:cs="Arial"/>
          <w:b/>
          <w:sz w:val="20"/>
          <w:szCs w:val="20"/>
        </w:rPr>
      </w:pPr>
      <w:r>
        <w:rPr>
          <w:rFonts w:ascii="Arial" w:hAnsi="Arial" w:cs="Arial"/>
          <w:color w:val="000000"/>
          <w:sz w:val="20"/>
          <w:szCs w:val="20"/>
        </w:rPr>
        <w:t>Hart, A., and D. Wolff (2006)</w:t>
      </w:r>
      <w:r w:rsidR="00A43F5A" w:rsidRPr="00A43F5A">
        <w:rPr>
          <w:rFonts w:ascii="Arial" w:hAnsi="Arial" w:cs="Arial"/>
          <w:color w:val="000000"/>
          <w:sz w:val="20"/>
          <w:szCs w:val="20"/>
        </w:rPr>
        <w:t xml:space="preserve"> Developing communities of practice through community-university partnerships. </w:t>
      </w:r>
      <w:r w:rsidR="00A43F5A" w:rsidRPr="00A43F5A">
        <w:rPr>
          <w:rFonts w:ascii="Arial" w:hAnsi="Arial" w:cs="Arial"/>
          <w:i/>
          <w:iCs/>
          <w:color w:val="000000"/>
          <w:sz w:val="20"/>
          <w:szCs w:val="20"/>
        </w:rPr>
        <w:t xml:space="preserve">Planning, Practice and Research </w:t>
      </w:r>
      <w:r w:rsidR="00A43F5A" w:rsidRPr="00A43F5A">
        <w:rPr>
          <w:rFonts w:ascii="Arial" w:hAnsi="Arial" w:cs="Arial"/>
          <w:color w:val="000000"/>
          <w:sz w:val="20"/>
          <w:szCs w:val="20"/>
        </w:rPr>
        <w:t>21 (1): 121–38.</w:t>
      </w:r>
    </w:p>
    <w:p w:rsidR="004A1D7B" w:rsidRDefault="004A1D7B" w:rsidP="00E07145">
      <w:pPr>
        <w:autoSpaceDE w:val="0"/>
        <w:autoSpaceDN w:val="0"/>
        <w:adjustRightInd w:val="0"/>
        <w:spacing w:after="0" w:line="240" w:lineRule="auto"/>
        <w:rPr>
          <w:rFonts w:ascii="Arial" w:hAnsi="Arial" w:cs="Arial"/>
          <w:sz w:val="20"/>
          <w:szCs w:val="20"/>
        </w:rPr>
      </w:pPr>
      <w:r w:rsidRPr="005570F0">
        <w:rPr>
          <w:rFonts w:ascii="Arial" w:hAnsi="Arial" w:cs="Arial"/>
          <w:sz w:val="20"/>
          <w:szCs w:val="20"/>
        </w:rPr>
        <w:t>Ke</w:t>
      </w:r>
      <w:r w:rsidR="00706342" w:rsidRPr="005570F0">
        <w:rPr>
          <w:rFonts w:ascii="Arial" w:hAnsi="Arial" w:cs="Arial"/>
          <w:sz w:val="20"/>
          <w:szCs w:val="20"/>
        </w:rPr>
        <w:t>lley, M. A., W. Baldyga, F. Barajas and M. Rodriguez-Sanchez</w:t>
      </w:r>
      <w:r w:rsidR="00706342" w:rsidRPr="005570F0">
        <w:rPr>
          <w:rFonts w:ascii="Arial" w:hAnsi="Arial" w:cs="Arial"/>
          <w:color w:val="FF0000"/>
          <w:sz w:val="24"/>
          <w:szCs w:val="24"/>
        </w:rPr>
        <w:t xml:space="preserve"> </w:t>
      </w:r>
      <w:r w:rsidRPr="005570F0">
        <w:rPr>
          <w:rFonts w:ascii="Arial" w:hAnsi="Arial" w:cs="Arial"/>
          <w:sz w:val="20"/>
          <w:szCs w:val="20"/>
        </w:rPr>
        <w:t xml:space="preserve">(2005). </w:t>
      </w:r>
      <w:r w:rsidRPr="00A43F5A">
        <w:rPr>
          <w:rFonts w:ascii="Arial" w:hAnsi="Arial" w:cs="Arial"/>
          <w:sz w:val="20"/>
          <w:szCs w:val="20"/>
        </w:rPr>
        <w:t>Capturing change in a community--university par</w:t>
      </w:r>
      <w:r w:rsidR="00706342">
        <w:rPr>
          <w:rFonts w:ascii="Arial" w:hAnsi="Arial" w:cs="Arial"/>
          <w:sz w:val="20"/>
          <w:szCs w:val="20"/>
        </w:rPr>
        <w:t>tnership: Si Se Puede! Project.</w:t>
      </w:r>
      <w:r w:rsidRPr="00A43F5A">
        <w:rPr>
          <w:rFonts w:ascii="Arial" w:hAnsi="Arial" w:cs="Arial"/>
          <w:sz w:val="20"/>
          <w:szCs w:val="20"/>
        </w:rPr>
        <w:t xml:space="preserve"> </w:t>
      </w:r>
      <w:r w:rsidRPr="00706342">
        <w:rPr>
          <w:rFonts w:ascii="Arial" w:hAnsi="Arial" w:cs="Arial"/>
          <w:i/>
          <w:sz w:val="20"/>
          <w:szCs w:val="20"/>
        </w:rPr>
        <w:t>Prev</w:t>
      </w:r>
      <w:r w:rsidR="00706342" w:rsidRPr="00706342">
        <w:rPr>
          <w:rFonts w:ascii="Arial" w:hAnsi="Arial" w:cs="Arial"/>
          <w:i/>
          <w:sz w:val="20"/>
          <w:szCs w:val="20"/>
        </w:rPr>
        <w:t>enting</w:t>
      </w:r>
      <w:r w:rsidRPr="00706342">
        <w:rPr>
          <w:rFonts w:ascii="Arial" w:hAnsi="Arial" w:cs="Arial"/>
          <w:i/>
          <w:sz w:val="20"/>
          <w:szCs w:val="20"/>
        </w:rPr>
        <w:t xml:space="preserve"> Chronic Dis</w:t>
      </w:r>
      <w:r w:rsidR="00706342" w:rsidRPr="00706342">
        <w:rPr>
          <w:rFonts w:ascii="Arial" w:hAnsi="Arial" w:cs="Arial"/>
          <w:i/>
          <w:sz w:val="20"/>
          <w:szCs w:val="20"/>
        </w:rPr>
        <w:t>ease</w:t>
      </w:r>
      <w:r w:rsidR="00706342">
        <w:rPr>
          <w:rFonts w:ascii="Arial" w:hAnsi="Arial" w:cs="Arial"/>
          <w:sz w:val="20"/>
          <w:szCs w:val="20"/>
        </w:rPr>
        <w:t xml:space="preserve"> </w:t>
      </w:r>
      <w:r w:rsidRPr="00706342">
        <w:rPr>
          <w:rFonts w:ascii="Arial" w:hAnsi="Arial" w:cs="Arial"/>
          <w:bCs/>
          <w:sz w:val="20"/>
          <w:szCs w:val="20"/>
        </w:rPr>
        <w:t>2</w:t>
      </w:r>
      <w:r w:rsidRPr="00A43F5A">
        <w:rPr>
          <w:rFonts w:ascii="Arial" w:hAnsi="Arial" w:cs="Arial"/>
          <w:sz w:val="20"/>
          <w:szCs w:val="20"/>
        </w:rPr>
        <w:t xml:space="preserve">(2): </w:t>
      </w:r>
      <w:r w:rsidR="009A67FE">
        <w:rPr>
          <w:rFonts w:ascii="Arial" w:hAnsi="Arial" w:cs="Arial"/>
          <w:sz w:val="20"/>
          <w:szCs w:val="20"/>
        </w:rPr>
        <w:t xml:space="preserve"> </w:t>
      </w:r>
      <w:r w:rsidRPr="00A43F5A">
        <w:rPr>
          <w:rFonts w:ascii="Arial" w:hAnsi="Arial" w:cs="Arial"/>
          <w:sz w:val="20"/>
          <w:szCs w:val="20"/>
        </w:rPr>
        <w:t>A22.</w:t>
      </w:r>
    </w:p>
    <w:p w:rsidR="00A43F5A" w:rsidRPr="00A43F5A" w:rsidRDefault="00A43F5A" w:rsidP="00E07145">
      <w:pPr>
        <w:spacing w:after="0" w:line="240" w:lineRule="auto"/>
        <w:rPr>
          <w:rFonts w:ascii="Arial" w:hAnsi="Arial" w:cs="Arial"/>
          <w:b/>
          <w:sz w:val="20"/>
          <w:szCs w:val="20"/>
        </w:rPr>
      </w:pPr>
      <w:r w:rsidRPr="00A43F5A">
        <w:rPr>
          <w:rFonts w:ascii="Arial" w:hAnsi="Arial" w:cs="Arial"/>
          <w:color w:val="000000"/>
          <w:sz w:val="20"/>
          <w:szCs w:val="20"/>
        </w:rPr>
        <w:t xml:space="preserve">Lerner, </w:t>
      </w:r>
      <w:r w:rsidR="009A67FE">
        <w:rPr>
          <w:rFonts w:ascii="Arial" w:hAnsi="Arial" w:cs="Arial"/>
          <w:color w:val="000000"/>
          <w:sz w:val="20"/>
          <w:szCs w:val="20"/>
        </w:rPr>
        <w:t>R. M., and L. A. K. Simon (1998)</w:t>
      </w:r>
      <w:r w:rsidRPr="00A43F5A">
        <w:rPr>
          <w:rFonts w:ascii="Arial" w:hAnsi="Arial" w:cs="Arial"/>
          <w:color w:val="000000"/>
          <w:sz w:val="20"/>
          <w:szCs w:val="20"/>
        </w:rPr>
        <w:t xml:space="preserve"> Directions for the American out</w:t>
      </w:r>
      <w:r w:rsidRPr="00A43F5A">
        <w:rPr>
          <w:rFonts w:ascii="Arial" w:hAnsi="Arial" w:cs="Arial"/>
          <w:color w:val="000000"/>
          <w:sz w:val="20"/>
          <w:szCs w:val="20"/>
        </w:rPr>
        <w:softHyphen/>
        <w:t xml:space="preserve">reach university in the twentieth century. In </w:t>
      </w:r>
      <w:r w:rsidRPr="00A43F5A">
        <w:rPr>
          <w:rFonts w:ascii="Arial" w:hAnsi="Arial" w:cs="Arial"/>
          <w:i/>
          <w:iCs/>
          <w:color w:val="000000"/>
          <w:sz w:val="20"/>
          <w:szCs w:val="20"/>
        </w:rPr>
        <w:t>University-community col</w:t>
      </w:r>
      <w:r w:rsidRPr="00A43F5A">
        <w:rPr>
          <w:rFonts w:ascii="Arial" w:hAnsi="Arial" w:cs="Arial"/>
          <w:i/>
          <w:iCs/>
          <w:color w:val="000000"/>
          <w:sz w:val="20"/>
          <w:szCs w:val="20"/>
        </w:rPr>
        <w:softHyphen/>
        <w:t>laborations for the twenty-first century: Outreach scholarship for youth and families</w:t>
      </w:r>
      <w:r w:rsidRPr="00A43F5A">
        <w:rPr>
          <w:rFonts w:ascii="Arial" w:hAnsi="Arial" w:cs="Arial"/>
          <w:color w:val="000000"/>
          <w:sz w:val="20"/>
          <w:szCs w:val="20"/>
        </w:rPr>
        <w:t>, ed. R. M. Lerner and L. A. K. Simon, 463–81. New York and London: Garland Publishing.</w:t>
      </w:r>
    </w:p>
    <w:p w:rsidR="004A1D7B" w:rsidRPr="00A43F5A" w:rsidRDefault="004A1D7B" w:rsidP="00E07145">
      <w:pPr>
        <w:spacing w:after="0" w:line="240" w:lineRule="auto"/>
        <w:rPr>
          <w:rFonts w:ascii="Arial" w:hAnsi="Arial" w:cs="Arial"/>
          <w:sz w:val="20"/>
          <w:szCs w:val="20"/>
        </w:rPr>
      </w:pPr>
      <w:r w:rsidRPr="00A43F5A">
        <w:rPr>
          <w:rFonts w:ascii="Arial" w:hAnsi="Arial" w:cs="Arial"/>
          <w:sz w:val="20"/>
          <w:szCs w:val="20"/>
        </w:rPr>
        <w:t xml:space="preserve">McCaslin, R. and C. L. Barnstable (2008). "Increasing geriatric social work content through university/community partnerships." </w:t>
      </w:r>
      <w:r w:rsidRPr="00D10344">
        <w:rPr>
          <w:rFonts w:ascii="Arial" w:hAnsi="Arial" w:cs="Arial"/>
          <w:i/>
          <w:sz w:val="20"/>
          <w:szCs w:val="20"/>
        </w:rPr>
        <w:t>Gerontol</w:t>
      </w:r>
      <w:r w:rsidR="009A67FE" w:rsidRPr="00D10344">
        <w:rPr>
          <w:rFonts w:ascii="Arial" w:hAnsi="Arial" w:cs="Arial"/>
          <w:i/>
          <w:sz w:val="20"/>
          <w:szCs w:val="20"/>
        </w:rPr>
        <w:t>ogy and</w:t>
      </w:r>
      <w:r w:rsidRPr="00D10344">
        <w:rPr>
          <w:rFonts w:ascii="Arial" w:hAnsi="Arial" w:cs="Arial"/>
          <w:i/>
          <w:sz w:val="20"/>
          <w:szCs w:val="20"/>
        </w:rPr>
        <w:t xml:space="preserve"> Geriatr</w:t>
      </w:r>
      <w:r w:rsidR="009A67FE" w:rsidRPr="00D10344">
        <w:rPr>
          <w:rFonts w:ascii="Arial" w:hAnsi="Arial" w:cs="Arial"/>
          <w:i/>
          <w:sz w:val="20"/>
          <w:szCs w:val="20"/>
        </w:rPr>
        <w:t>ics</w:t>
      </w:r>
      <w:r w:rsidRPr="00D10344">
        <w:rPr>
          <w:rFonts w:ascii="Arial" w:hAnsi="Arial" w:cs="Arial"/>
          <w:i/>
          <w:sz w:val="20"/>
          <w:szCs w:val="20"/>
        </w:rPr>
        <w:t xml:space="preserve"> Educ</w:t>
      </w:r>
      <w:r w:rsidR="009A67FE" w:rsidRPr="00D10344">
        <w:rPr>
          <w:rFonts w:ascii="Arial" w:hAnsi="Arial" w:cs="Arial"/>
          <w:i/>
          <w:sz w:val="20"/>
          <w:szCs w:val="20"/>
        </w:rPr>
        <w:t>ation</w:t>
      </w:r>
      <w:r w:rsidRPr="00A43F5A">
        <w:rPr>
          <w:rFonts w:ascii="Arial" w:hAnsi="Arial" w:cs="Arial"/>
          <w:sz w:val="20"/>
          <w:szCs w:val="20"/>
        </w:rPr>
        <w:t xml:space="preserve"> </w:t>
      </w:r>
      <w:r w:rsidRPr="009A67FE">
        <w:rPr>
          <w:rFonts w:ascii="Arial" w:hAnsi="Arial" w:cs="Arial"/>
          <w:bCs/>
          <w:sz w:val="20"/>
          <w:szCs w:val="20"/>
        </w:rPr>
        <w:t>29</w:t>
      </w:r>
      <w:r w:rsidRPr="00A43F5A">
        <w:rPr>
          <w:rFonts w:ascii="Arial" w:hAnsi="Arial" w:cs="Arial"/>
          <w:sz w:val="20"/>
          <w:szCs w:val="20"/>
        </w:rPr>
        <w:t>(1): 1-18.</w:t>
      </w:r>
    </w:p>
    <w:p w:rsidR="004A1D7B" w:rsidRPr="00A43F5A" w:rsidRDefault="004A1D7B" w:rsidP="00E07145">
      <w:pPr>
        <w:spacing w:after="0" w:line="240" w:lineRule="auto"/>
        <w:rPr>
          <w:rFonts w:ascii="Arial" w:hAnsi="Arial" w:cs="Arial"/>
          <w:sz w:val="20"/>
          <w:szCs w:val="20"/>
        </w:rPr>
      </w:pPr>
      <w:r w:rsidRPr="00A43F5A">
        <w:rPr>
          <w:rFonts w:ascii="Arial" w:hAnsi="Arial" w:cs="Arial"/>
          <w:sz w:val="20"/>
          <w:szCs w:val="20"/>
        </w:rPr>
        <w:t>Stirman, S. W., R. Buchho</w:t>
      </w:r>
      <w:r w:rsidR="009A67FE">
        <w:rPr>
          <w:rFonts w:ascii="Arial" w:hAnsi="Arial" w:cs="Arial"/>
          <w:sz w:val="20"/>
          <w:szCs w:val="20"/>
        </w:rPr>
        <w:t xml:space="preserve">fer, J.B. McLaulin, A.C.Evans, and A.T.Beck (2009) </w:t>
      </w:r>
      <w:r w:rsidRPr="00A43F5A">
        <w:rPr>
          <w:rFonts w:ascii="Arial" w:hAnsi="Arial" w:cs="Arial"/>
          <w:sz w:val="20"/>
          <w:szCs w:val="20"/>
        </w:rPr>
        <w:t>Public-academic partnerships: the Beck Initiative: a partnership to implement cognitive therapy in a community behavioral health system.</w:t>
      </w:r>
      <w:r w:rsidR="009A67FE">
        <w:rPr>
          <w:rFonts w:ascii="Arial" w:hAnsi="Arial" w:cs="Arial"/>
          <w:sz w:val="20"/>
          <w:szCs w:val="20"/>
        </w:rPr>
        <w:t xml:space="preserve"> </w:t>
      </w:r>
      <w:r w:rsidRPr="00D10344">
        <w:rPr>
          <w:rFonts w:ascii="Arial" w:hAnsi="Arial" w:cs="Arial"/>
          <w:i/>
          <w:sz w:val="20"/>
          <w:szCs w:val="20"/>
        </w:rPr>
        <w:t>Psychiatr</w:t>
      </w:r>
      <w:r w:rsidR="009A67FE" w:rsidRPr="00D10344">
        <w:rPr>
          <w:rFonts w:ascii="Arial" w:hAnsi="Arial" w:cs="Arial"/>
          <w:i/>
          <w:sz w:val="20"/>
          <w:szCs w:val="20"/>
        </w:rPr>
        <w:t>ic</w:t>
      </w:r>
      <w:r w:rsidRPr="00D10344">
        <w:rPr>
          <w:rFonts w:ascii="Arial" w:hAnsi="Arial" w:cs="Arial"/>
          <w:i/>
          <w:sz w:val="20"/>
          <w:szCs w:val="20"/>
        </w:rPr>
        <w:t xml:space="preserve"> Serv</w:t>
      </w:r>
      <w:r w:rsidR="009A67FE" w:rsidRPr="00D10344">
        <w:rPr>
          <w:rFonts w:ascii="Arial" w:hAnsi="Arial" w:cs="Arial"/>
          <w:i/>
          <w:sz w:val="20"/>
          <w:szCs w:val="20"/>
        </w:rPr>
        <w:t>ices</w:t>
      </w:r>
      <w:r w:rsidRPr="00A43F5A">
        <w:rPr>
          <w:rFonts w:ascii="Arial" w:hAnsi="Arial" w:cs="Arial"/>
          <w:sz w:val="20"/>
          <w:szCs w:val="20"/>
        </w:rPr>
        <w:t xml:space="preserve"> </w:t>
      </w:r>
      <w:r w:rsidRPr="009A67FE">
        <w:rPr>
          <w:rFonts w:ascii="Arial" w:hAnsi="Arial" w:cs="Arial"/>
          <w:bCs/>
          <w:sz w:val="20"/>
          <w:szCs w:val="20"/>
        </w:rPr>
        <w:t>60</w:t>
      </w:r>
      <w:r w:rsidRPr="00A43F5A">
        <w:rPr>
          <w:rFonts w:ascii="Arial" w:hAnsi="Arial" w:cs="Arial"/>
          <w:sz w:val="20"/>
          <w:szCs w:val="20"/>
        </w:rPr>
        <w:t>(10): 1302-4.</w:t>
      </w:r>
    </w:p>
    <w:sectPr w:rsidR="004A1D7B" w:rsidRPr="00A43F5A" w:rsidSect="00F760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95" w:rsidRDefault="00102295" w:rsidP="00C13AFF">
      <w:pPr>
        <w:spacing w:after="0" w:line="240" w:lineRule="auto"/>
      </w:pPr>
      <w:r>
        <w:separator/>
      </w:r>
    </w:p>
  </w:endnote>
  <w:endnote w:type="continuationSeparator" w:id="0">
    <w:p w:rsidR="00102295" w:rsidRDefault="00102295" w:rsidP="00C13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95" w:rsidRDefault="00102295" w:rsidP="00C13AFF">
      <w:pPr>
        <w:spacing w:after="0" w:line="240" w:lineRule="auto"/>
      </w:pPr>
      <w:r>
        <w:separator/>
      </w:r>
    </w:p>
  </w:footnote>
  <w:footnote w:type="continuationSeparator" w:id="0">
    <w:p w:rsidR="00102295" w:rsidRDefault="00102295" w:rsidP="00C13AFF">
      <w:pPr>
        <w:spacing w:after="0" w:line="240" w:lineRule="auto"/>
      </w:pPr>
      <w:r>
        <w:continuationSeparator/>
      </w:r>
    </w:p>
  </w:footnote>
  <w:footnote w:id="1">
    <w:p w:rsidR="00515979" w:rsidRDefault="00515979" w:rsidP="00515979">
      <w:pPr>
        <w:pStyle w:val="FootnoteText"/>
      </w:pPr>
      <w:r>
        <w:rPr>
          <w:rStyle w:val="FootnoteReference"/>
        </w:rPr>
        <w:footnoteRef/>
      </w:r>
      <w:r>
        <w:t xml:space="preserve"> Professor Angie Hart is Academic Director, University of Brighton Community University Partnership Programme (Cupp). Simon Northmore is Development Manager, South East Coastal Communities Programme, Cupp </w:t>
      </w:r>
      <w:hyperlink r:id="rId1" w:history="1">
        <w:r w:rsidRPr="00873EE3">
          <w:rPr>
            <w:rStyle w:val="Hyperlink"/>
          </w:rPr>
          <w:t>www.brighton.ac.uk/cupp</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287"/>
    <w:multiLevelType w:val="hybridMultilevel"/>
    <w:tmpl w:val="9BD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83560"/>
    <w:rsid w:val="00000515"/>
    <w:rsid w:val="0000193D"/>
    <w:rsid w:val="00002189"/>
    <w:rsid w:val="00005743"/>
    <w:rsid w:val="0001199B"/>
    <w:rsid w:val="000135A7"/>
    <w:rsid w:val="000138F7"/>
    <w:rsid w:val="0001422D"/>
    <w:rsid w:val="0002485E"/>
    <w:rsid w:val="000375B8"/>
    <w:rsid w:val="00043651"/>
    <w:rsid w:val="000603F9"/>
    <w:rsid w:val="000675D1"/>
    <w:rsid w:val="000836A1"/>
    <w:rsid w:val="000852EC"/>
    <w:rsid w:val="00093BBC"/>
    <w:rsid w:val="000A54F4"/>
    <w:rsid w:val="000C1F82"/>
    <w:rsid w:val="000C510C"/>
    <w:rsid w:val="000C55BC"/>
    <w:rsid w:val="000D49D9"/>
    <w:rsid w:val="000E1511"/>
    <w:rsid w:val="000E3EE4"/>
    <w:rsid w:val="000F0996"/>
    <w:rsid w:val="000F25F4"/>
    <w:rsid w:val="000F6EEF"/>
    <w:rsid w:val="00102295"/>
    <w:rsid w:val="00102993"/>
    <w:rsid w:val="00103202"/>
    <w:rsid w:val="00111F9B"/>
    <w:rsid w:val="00114DF3"/>
    <w:rsid w:val="001156E8"/>
    <w:rsid w:val="001320B4"/>
    <w:rsid w:val="001323AB"/>
    <w:rsid w:val="00142380"/>
    <w:rsid w:val="001479B2"/>
    <w:rsid w:val="00151DC9"/>
    <w:rsid w:val="00152525"/>
    <w:rsid w:val="00171580"/>
    <w:rsid w:val="001743A9"/>
    <w:rsid w:val="00175F47"/>
    <w:rsid w:val="00187FED"/>
    <w:rsid w:val="00192EC3"/>
    <w:rsid w:val="001941F2"/>
    <w:rsid w:val="001A1DC0"/>
    <w:rsid w:val="001A50EC"/>
    <w:rsid w:val="001A55A6"/>
    <w:rsid w:val="001B44A0"/>
    <w:rsid w:val="001C2337"/>
    <w:rsid w:val="001C4A26"/>
    <w:rsid w:val="001D04BF"/>
    <w:rsid w:val="001D3AC2"/>
    <w:rsid w:val="001E25E8"/>
    <w:rsid w:val="001E2AB3"/>
    <w:rsid w:val="001E4C8C"/>
    <w:rsid w:val="001F0AAD"/>
    <w:rsid w:val="001F12E1"/>
    <w:rsid w:val="001F3C54"/>
    <w:rsid w:val="001F529D"/>
    <w:rsid w:val="00204292"/>
    <w:rsid w:val="002045E2"/>
    <w:rsid w:val="0021425E"/>
    <w:rsid w:val="00215599"/>
    <w:rsid w:val="00221902"/>
    <w:rsid w:val="0022635F"/>
    <w:rsid w:val="00241455"/>
    <w:rsid w:val="00241508"/>
    <w:rsid w:val="00261026"/>
    <w:rsid w:val="00264344"/>
    <w:rsid w:val="00277FDE"/>
    <w:rsid w:val="0028052A"/>
    <w:rsid w:val="00281833"/>
    <w:rsid w:val="00283560"/>
    <w:rsid w:val="00285AAA"/>
    <w:rsid w:val="00296954"/>
    <w:rsid w:val="00297DB1"/>
    <w:rsid w:val="002A1962"/>
    <w:rsid w:val="002A5699"/>
    <w:rsid w:val="002A79F0"/>
    <w:rsid w:val="002B117A"/>
    <w:rsid w:val="002B1444"/>
    <w:rsid w:val="002B423E"/>
    <w:rsid w:val="002B4E0A"/>
    <w:rsid w:val="002C02A4"/>
    <w:rsid w:val="002C4E16"/>
    <w:rsid w:val="002C5AE8"/>
    <w:rsid w:val="002D2E5D"/>
    <w:rsid w:val="002D424F"/>
    <w:rsid w:val="002E4F92"/>
    <w:rsid w:val="002F5FE3"/>
    <w:rsid w:val="002F6A4E"/>
    <w:rsid w:val="00302636"/>
    <w:rsid w:val="00303A6E"/>
    <w:rsid w:val="003135FA"/>
    <w:rsid w:val="00314415"/>
    <w:rsid w:val="00324E26"/>
    <w:rsid w:val="003264E8"/>
    <w:rsid w:val="0033110F"/>
    <w:rsid w:val="0033304F"/>
    <w:rsid w:val="00336A6D"/>
    <w:rsid w:val="003528D6"/>
    <w:rsid w:val="00374FDD"/>
    <w:rsid w:val="0037649E"/>
    <w:rsid w:val="003849C9"/>
    <w:rsid w:val="00387274"/>
    <w:rsid w:val="00393F7B"/>
    <w:rsid w:val="003960FE"/>
    <w:rsid w:val="003963B2"/>
    <w:rsid w:val="00397161"/>
    <w:rsid w:val="003B263E"/>
    <w:rsid w:val="003B7800"/>
    <w:rsid w:val="003C0E7C"/>
    <w:rsid w:val="003C41C2"/>
    <w:rsid w:val="003C52B6"/>
    <w:rsid w:val="003C5E57"/>
    <w:rsid w:val="003E7B49"/>
    <w:rsid w:val="003F56A6"/>
    <w:rsid w:val="003F6C9E"/>
    <w:rsid w:val="00402B10"/>
    <w:rsid w:val="004243F2"/>
    <w:rsid w:val="00424465"/>
    <w:rsid w:val="004434D1"/>
    <w:rsid w:val="00446569"/>
    <w:rsid w:val="00460786"/>
    <w:rsid w:val="00462EF1"/>
    <w:rsid w:val="004633FA"/>
    <w:rsid w:val="0047315A"/>
    <w:rsid w:val="004A1D7B"/>
    <w:rsid w:val="004A30DD"/>
    <w:rsid w:val="004C451A"/>
    <w:rsid w:val="004C59E9"/>
    <w:rsid w:val="004D7D27"/>
    <w:rsid w:val="004F0196"/>
    <w:rsid w:val="004F61E2"/>
    <w:rsid w:val="00502188"/>
    <w:rsid w:val="00502615"/>
    <w:rsid w:val="00505F43"/>
    <w:rsid w:val="0051380C"/>
    <w:rsid w:val="00515979"/>
    <w:rsid w:val="00523F2C"/>
    <w:rsid w:val="00532533"/>
    <w:rsid w:val="00535E08"/>
    <w:rsid w:val="00542D8D"/>
    <w:rsid w:val="00551C03"/>
    <w:rsid w:val="00555B5B"/>
    <w:rsid w:val="00556FE7"/>
    <w:rsid w:val="005570F0"/>
    <w:rsid w:val="005607FE"/>
    <w:rsid w:val="00562F24"/>
    <w:rsid w:val="00565E6B"/>
    <w:rsid w:val="00573DE5"/>
    <w:rsid w:val="005752FE"/>
    <w:rsid w:val="005758C7"/>
    <w:rsid w:val="00585462"/>
    <w:rsid w:val="00591651"/>
    <w:rsid w:val="005A08CC"/>
    <w:rsid w:val="005B37F0"/>
    <w:rsid w:val="005B71B5"/>
    <w:rsid w:val="005C205C"/>
    <w:rsid w:val="005D2C1A"/>
    <w:rsid w:val="005D7E91"/>
    <w:rsid w:val="005E1F4B"/>
    <w:rsid w:val="005F22E1"/>
    <w:rsid w:val="005F28BF"/>
    <w:rsid w:val="005F3C1F"/>
    <w:rsid w:val="00633CBD"/>
    <w:rsid w:val="00643395"/>
    <w:rsid w:val="0064401B"/>
    <w:rsid w:val="006501FF"/>
    <w:rsid w:val="00652D01"/>
    <w:rsid w:val="0069245C"/>
    <w:rsid w:val="00697284"/>
    <w:rsid w:val="006A2A42"/>
    <w:rsid w:val="006A3F90"/>
    <w:rsid w:val="006B55CA"/>
    <w:rsid w:val="006B5B6A"/>
    <w:rsid w:val="006C5712"/>
    <w:rsid w:val="006E4E8D"/>
    <w:rsid w:val="006F08BD"/>
    <w:rsid w:val="00701553"/>
    <w:rsid w:val="00706342"/>
    <w:rsid w:val="00706492"/>
    <w:rsid w:val="00713166"/>
    <w:rsid w:val="00713B19"/>
    <w:rsid w:val="0071435F"/>
    <w:rsid w:val="00714A7B"/>
    <w:rsid w:val="00714B40"/>
    <w:rsid w:val="00714E8A"/>
    <w:rsid w:val="00725F49"/>
    <w:rsid w:val="007525BF"/>
    <w:rsid w:val="0075790F"/>
    <w:rsid w:val="00760B05"/>
    <w:rsid w:val="00764B86"/>
    <w:rsid w:val="007668A1"/>
    <w:rsid w:val="00775957"/>
    <w:rsid w:val="00781D10"/>
    <w:rsid w:val="00784DF5"/>
    <w:rsid w:val="00786E6E"/>
    <w:rsid w:val="007A45BD"/>
    <w:rsid w:val="007B69FA"/>
    <w:rsid w:val="007C5A7A"/>
    <w:rsid w:val="007D7960"/>
    <w:rsid w:val="007E210A"/>
    <w:rsid w:val="007E4076"/>
    <w:rsid w:val="007E4C22"/>
    <w:rsid w:val="007E6305"/>
    <w:rsid w:val="007E7AE6"/>
    <w:rsid w:val="0080250C"/>
    <w:rsid w:val="00812DFB"/>
    <w:rsid w:val="00821276"/>
    <w:rsid w:val="0083080A"/>
    <w:rsid w:val="00831FCF"/>
    <w:rsid w:val="00836345"/>
    <w:rsid w:val="008415D0"/>
    <w:rsid w:val="00842BD0"/>
    <w:rsid w:val="00843476"/>
    <w:rsid w:val="00856164"/>
    <w:rsid w:val="00870470"/>
    <w:rsid w:val="0087759E"/>
    <w:rsid w:val="008828C8"/>
    <w:rsid w:val="00885863"/>
    <w:rsid w:val="008866E0"/>
    <w:rsid w:val="00887B13"/>
    <w:rsid w:val="00891FBD"/>
    <w:rsid w:val="008927D9"/>
    <w:rsid w:val="00892FBA"/>
    <w:rsid w:val="008A3D8F"/>
    <w:rsid w:val="008A648D"/>
    <w:rsid w:val="008C73AE"/>
    <w:rsid w:val="008D422F"/>
    <w:rsid w:val="008D581F"/>
    <w:rsid w:val="008E090F"/>
    <w:rsid w:val="008E1F17"/>
    <w:rsid w:val="008F75C1"/>
    <w:rsid w:val="00910EE0"/>
    <w:rsid w:val="00915309"/>
    <w:rsid w:val="00922E2A"/>
    <w:rsid w:val="00924E74"/>
    <w:rsid w:val="00957BD9"/>
    <w:rsid w:val="0096452A"/>
    <w:rsid w:val="009A67FE"/>
    <w:rsid w:val="009C6C3F"/>
    <w:rsid w:val="009D541D"/>
    <w:rsid w:val="009E5DE1"/>
    <w:rsid w:val="009F37BA"/>
    <w:rsid w:val="009F60B7"/>
    <w:rsid w:val="009F67A7"/>
    <w:rsid w:val="00A05CB9"/>
    <w:rsid w:val="00A0654C"/>
    <w:rsid w:val="00A07AF6"/>
    <w:rsid w:val="00A414E1"/>
    <w:rsid w:val="00A43F5A"/>
    <w:rsid w:val="00A477A2"/>
    <w:rsid w:val="00A52329"/>
    <w:rsid w:val="00A73DA9"/>
    <w:rsid w:val="00A74B32"/>
    <w:rsid w:val="00A76143"/>
    <w:rsid w:val="00A83844"/>
    <w:rsid w:val="00AA2CD8"/>
    <w:rsid w:val="00AA64E4"/>
    <w:rsid w:val="00AA6BB8"/>
    <w:rsid w:val="00AA7916"/>
    <w:rsid w:val="00AB02F0"/>
    <w:rsid w:val="00AB6B07"/>
    <w:rsid w:val="00AC2D45"/>
    <w:rsid w:val="00AD785B"/>
    <w:rsid w:val="00AE5F3A"/>
    <w:rsid w:val="00B05696"/>
    <w:rsid w:val="00B20723"/>
    <w:rsid w:val="00B304A4"/>
    <w:rsid w:val="00B32C13"/>
    <w:rsid w:val="00B35ADC"/>
    <w:rsid w:val="00B4090B"/>
    <w:rsid w:val="00B600F0"/>
    <w:rsid w:val="00B6359C"/>
    <w:rsid w:val="00B6392C"/>
    <w:rsid w:val="00B654B3"/>
    <w:rsid w:val="00B65F72"/>
    <w:rsid w:val="00B72A0B"/>
    <w:rsid w:val="00B73278"/>
    <w:rsid w:val="00B778D0"/>
    <w:rsid w:val="00B82162"/>
    <w:rsid w:val="00B86C10"/>
    <w:rsid w:val="00B92770"/>
    <w:rsid w:val="00B9617B"/>
    <w:rsid w:val="00BA57F3"/>
    <w:rsid w:val="00BE355E"/>
    <w:rsid w:val="00BE71D4"/>
    <w:rsid w:val="00BF1AF7"/>
    <w:rsid w:val="00BF228E"/>
    <w:rsid w:val="00BF3948"/>
    <w:rsid w:val="00BF3D0B"/>
    <w:rsid w:val="00C01B13"/>
    <w:rsid w:val="00C071DC"/>
    <w:rsid w:val="00C110D8"/>
    <w:rsid w:val="00C13AFF"/>
    <w:rsid w:val="00C22FC3"/>
    <w:rsid w:val="00C31292"/>
    <w:rsid w:val="00C37860"/>
    <w:rsid w:val="00C40218"/>
    <w:rsid w:val="00C42F2B"/>
    <w:rsid w:val="00C43FF5"/>
    <w:rsid w:val="00C445F1"/>
    <w:rsid w:val="00C45431"/>
    <w:rsid w:val="00C50A05"/>
    <w:rsid w:val="00C54C21"/>
    <w:rsid w:val="00C617EE"/>
    <w:rsid w:val="00C62049"/>
    <w:rsid w:val="00C66B91"/>
    <w:rsid w:val="00C67922"/>
    <w:rsid w:val="00C67DD4"/>
    <w:rsid w:val="00C81125"/>
    <w:rsid w:val="00C821F5"/>
    <w:rsid w:val="00C87A00"/>
    <w:rsid w:val="00CA50E1"/>
    <w:rsid w:val="00CA5C24"/>
    <w:rsid w:val="00CB29A5"/>
    <w:rsid w:val="00CB6A6D"/>
    <w:rsid w:val="00CC7684"/>
    <w:rsid w:val="00CD6EE5"/>
    <w:rsid w:val="00CE0958"/>
    <w:rsid w:val="00CF7257"/>
    <w:rsid w:val="00D10344"/>
    <w:rsid w:val="00D3054A"/>
    <w:rsid w:val="00D346D0"/>
    <w:rsid w:val="00D435ED"/>
    <w:rsid w:val="00D60215"/>
    <w:rsid w:val="00D709DE"/>
    <w:rsid w:val="00D75203"/>
    <w:rsid w:val="00D83633"/>
    <w:rsid w:val="00DB5117"/>
    <w:rsid w:val="00DC3D74"/>
    <w:rsid w:val="00DD3285"/>
    <w:rsid w:val="00DD4C25"/>
    <w:rsid w:val="00DD7FC2"/>
    <w:rsid w:val="00DF2F22"/>
    <w:rsid w:val="00DF35D0"/>
    <w:rsid w:val="00DF7CB1"/>
    <w:rsid w:val="00E07145"/>
    <w:rsid w:val="00E13C57"/>
    <w:rsid w:val="00E2165A"/>
    <w:rsid w:val="00E253E3"/>
    <w:rsid w:val="00E26FAF"/>
    <w:rsid w:val="00E4340D"/>
    <w:rsid w:val="00E468A1"/>
    <w:rsid w:val="00E476E7"/>
    <w:rsid w:val="00E51B9E"/>
    <w:rsid w:val="00E54EDE"/>
    <w:rsid w:val="00E656E8"/>
    <w:rsid w:val="00E71282"/>
    <w:rsid w:val="00E71F6C"/>
    <w:rsid w:val="00E96624"/>
    <w:rsid w:val="00EA3017"/>
    <w:rsid w:val="00EB18B6"/>
    <w:rsid w:val="00EC38F9"/>
    <w:rsid w:val="00ED7EAF"/>
    <w:rsid w:val="00EE37D6"/>
    <w:rsid w:val="00EE449F"/>
    <w:rsid w:val="00EE5D26"/>
    <w:rsid w:val="00EE6C1D"/>
    <w:rsid w:val="00F00800"/>
    <w:rsid w:val="00F05C9F"/>
    <w:rsid w:val="00F102C8"/>
    <w:rsid w:val="00F226A7"/>
    <w:rsid w:val="00F435F5"/>
    <w:rsid w:val="00F46706"/>
    <w:rsid w:val="00F514F0"/>
    <w:rsid w:val="00F60C44"/>
    <w:rsid w:val="00F672EF"/>
    <w:rsid w:val="00F76056"/>
    <w:rsid w:val="00F84BE8"/>
    <w:rsid w:val="00F85667"/>
    <w:rsid w:val="00F874AF"/>
    <w:rsid w:val="00F934D0"/>
    <w:rsid w:val="00FA78E3"/>
    <w:rsid w:val="00FB60EB"/>
    <w:rsid w:val="00FC2F9F"/>
    <w:rsid w:val="00FD62E5"/>
    <w:rsid w:val="00FF148D"/>
    <w:rsid w:val="00FF662B"/>
    <w:rsid w:val="00FF6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60"/>
    <w:pPr>
      <w:spacing w:after="0" w:line="336" w:lineRule="auto"/>
      <w:jc w:val="both"/>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3560"/>
    <w:rPr>
      <w:color w:val="0000FF" w:themeColor="hyperlink"/>
      <w:u w:val="single"/>
    </w:rPr>
  </w:style>
  <w:style w:type="paragraph" w:styleId="ListParagraph">
    <w:name w:val="List Paragraph"/>
    <w:basedOn w:val="Normal"/>
    <w:uiPriority w:val="34"/>
    <w:qFormat/>
    <w:rsid w:val="00FD62E5"/>
    <w:pPr>
      <w:ind w:left="720"/>
      <w:contextualSpacing/>
    </w:pPr>
  </w:style>
  <w:style w:type="paragraph" w:styleId="FootnoteText">
    <w:name w:val="footnote text"/>
    <w:basedOn w:val="Normal"/>
    <w:link w:val="FootnoteTextChar"/>
    <w:uiPriority w:val="99"/>
    <w:semiHidden/>
    <w:unhideWhenUsed/>
    <w:rsid w:val="00C13A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AFF"/>
    <w:rPr>
      <w:sz w:val="20"/>
      <w:szCs w:val="20"/>
    </w:rPr>
  </w:style>
  <w:style w:type="character" w:styleId="FootnoteReference">
    <w:name w:val="footnote reference"/>
    <w:basedOn w:val="DefaultParagraphFont"/>
    <w:uiPriority w:val="99"/>
    <w:semiHidden/>
    <w:unhideWhenUsed/>
    <w:rsid w:val="00C13AFF"/>
    <w:rPr>
      <w:vertAlign w:val="superscript"/>
    </w:rPr>
  </w:style>
  <w:style w:type="paragraph" w:customStyle="1" w:styleId="Default">
    <w:name w:val="Default"/>
    <w:rsid w:val="00B35ADC"/>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B35ADC"/>
    <w:rPr>
      <w:rFonts w:cs="Minion Pro"/>
      <w:i/>
      <w:iCs/>
      <w:color w:val="000000"/>
      <w:sz w:val="20"/>
      <w:szCs w:val="20"/>
    </w:rPr>
  </w:style>
  <w:style w:type="character" w:styleId="FollowedHyperlink">
    <w:name w:val="FollowedHyperlink"/>
    <w:basedOn w:val="DefaultParagraphFont"/>
    <w:uiPriority w:val="99"/>
    <w:semiHidden/>
    <w:unhideWhenUsed/>
    <w:rsid w:val="004A1D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2528153">
      <w:bodyDiv w:val="1"/>
      <w:marLeft w:val="0"/>
      <w:marRight w:val="0"/>
      <w:marTop w:val="0"/>
      <w:marBottom w:val="0"/>
      <w:divBdr>
        <w:top w:val="none" w:sz="0" w:space="0" w:color="auto"/>
        <w:left w:val="none" w:sz="0" w:space="0" w:color="auto"/>
        <w:bottom w:val="none" w:sz="0" w:space="0" w:color="auto"/>
        <w:right w:val="none" w:sz="0" w:space="0" w:color="auto"/>
      </w:divBdr>
      <w:divsChild>
        <w:div w:id="1570115753">
          <w:marLeft w:val="0"/>
          <w:marRight w:val="0"/>
          <w:marTop w:val="0"/>
          <w:marBottom w:val="0"/>
          <w:divBdr>
            <w:top w:val="none" w:sz="0" w:space="0" w:color="auto"/>
            <w:left w:val="none" w:sz="0" w:space="0" w:color="auto"/>
            <w:bottom w:val="none" w:sz="0" w:space="0" w:color="auto"/>
            <w:right w:val="none" w:sz="0" w:space="0" w:color="auto"/>
          </w:divBdr>
          <w:divsChild>
            <w:div w:id="1294869192">
              <w:marLeft w:val="0"/>
              <w:marRight w:val="0"/>
              <w:marTop w:val="0"/>
              <w:marBottom w:val="0"/>
              <w:divBdr>
                <w:top w:val="none" w:sz="0" w:space="0" w:color="auto"/>
                <w:left w:val="none" w:sz="0" w:space="0" w:color="auto"/>
                <w:bottom w:val="none" w:sz="0" w:space="0" w:color="auto"/>
                <w:right w:val="none" w:sz="0" w:space="0" w:color="auto"/>
              </w:divBdr>
              <w:divsChild>
                <w:div w:id="1039890429">
                  <w:marLeft w:val="0"/>
                  <w:marRight w:val="0"/>
                  <w:marTop w:val="0"/>
                  <w:marBottom w:val="0"/>
                  <w:divBdr>
                    <w:top w:val="none" w:sz="0" w:space="0" w:color="auto"/>
                    <w:left w:val="none" w:sz="0" w:space="0" w:color="auto"/>
                    <w:bottom w:val="none" w:sz="0" w:space="0" w:color="auto"/>
                    <w:right w:val="none" w:sz="0" w:space="0" w:color="auto"/>
                  </w:divBdr>
                  <w:divsChild>
                    <w:div w:id="1459907493">
                      <w:marLeft w:val="0"/>
                      <w:marRight w:val="0"/>
                      <w:marTop w:val="0"/>
                      <w:marBottom w:val="0"/>
                      <w:divBdr>
                        <w:top w:val="none" w:sz="0" w:space="0" w:color="auto"/>
                        <w:left w:val="none" w:sz="0" w:space="0" w:color="auto"/>
                        <w:bottom w:val="none" w:sz="0" w:space="0" w:color="auto"/>
                        <w:right w:val="none" w:sz="0" w:space="0" w:color="auto"/>
                      </w:divBdr>
                      <w:divsChild>
                        <w:div w:id="424108391">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sChild>
            </w:div>
          </w:divsChild>
        </w:div>
      </w:divsChild>
    </w:div>
    <w:div w:id="1098985991">
      <w:bodyDiv w:val="1"/>
      <w:marLeft w:val="0"/>
      <w:marRight w:val="0"/>
      <w:marTop w:val="0"/>
      <w:marBottom w:val="0"/>
      <w:divBdr>
        <w:top w:val="none" w:sz="0" w:space="0" w:color="auto"/>
        <w:left w:val="none" w:sz="0" w:space="0" w:color="auto"/>
        <w:bottom w:val="none" w:sz="0" w:space="0" w:color="auto"/>
        <w:right w:val="none" w:sz="0" w:space="0" w:color="auto"/>
      </w:divBdr>
      <w:divsChild>
        <w:div w:id="2123260546">
          <w:marLeft w:val="0"/>
          <w:marRight w:val="0"/>
          <w:marTop w:val="0"/>
          <w:marBottom w:val="0"/>
          <w:divBdr>
            <w:top w:val="none" w:sz="0" w:space="0" w:color="auto"/>
            <w:left w:val="none" w:sz="0" w:space="0" w:color="auto"/>
            <w:bottom w:val="none" w:sz="0" w:space="0" w:color="auto"/>
            <w:right w:val="none" w:sz="0" w:space="0" w:color="auto"/>
          </w:divBdr>
          <w:divsChild>
            <w:div w:id="371268453">
              <w:marLeft w:val="0"/>
              <w:marRight w:val="0"/>
              <w:marTop w:val="0"/>
              <w:marBottom w:val="0"/>
              <w:divBdr>
                <w:top w:val="none" w:sz="0" w:space="0" w:color="auto"/>
                <w:left w:val="none" w:sz="0" w:space="0" w:color="auto"/>
                <w:bottom w:val="none" w:sz="0" w:space="0" w:color="auto"/>
                <w:right w:val="none" w:sz="0" w:space="0" w:color="auto"/>
              </w:divBdr>
              <w:divsChild>
                <w:div w:id="1328051485">
                  <w:marLeft w:val="0"/>
                  <w:marRight w:val="0"/>
                  <w:marTop w:val="0"/>
                  <w:marBottom w:val="0"/>
                  <w:divBdr>
                    <w:top w:val="none" w:sz="0" w:space="0" w:color="auto"/>
                    <w:left w:val="none" w:sz="0" w:space="0" w:color="auto"/>
                    <w:bottom w:val="none" w:sz="0" w:space="0" w:color="auto"/>
                    <w:right w:val="none" w:sz="0" w:space="0" w:color="auto"/>
                  </w:divBdr>
                  <w:divsChild>
                    <w:div w:id="446969398">
                      <w:marLeft w:val="0"/>
                      <w:marRight w:val="0"/>
                      <w:marTop w:val="0"/>
                      <w:marBottom w:val="0"/>
                      <w:divBdr>
                        <w:top w:val="none" w:sz="0" w:space="0" w:color="auto"/>
                        <w:left w:val="none" w:sz="0" w:space="0" w:color="auto"/>
                        <w:bottom w:val="none" w:sz="0" w:space="0" w:color="auto"/>
                        <w:right w:val="none" w:sz="0" w:space="0" w:color="auto"/>
                      </w:divBdr>
                      <w:divsChild>
                        <w:div w:id="698513781">
                          <w:marLeft w:val="0"/>
                          <w:marRight w:val="0"/>
                          <w:marTop w:val="0"/>
                          <w:marBottom w:val="0"/>
                          <w:divBdr>
                            <w:top w:val="dotted" w:sz="12" w:space="6" w:color="000000"/>
                            <w:left w:val="none" w:sz="0" w:space="0" w:color="auto"/>
                            <w:bottom w:val="none" w:sz="0" w:space="0" w:color="auto"/>
                            <w:right w:val="none" w:sz="0" w:space="0" w:color="auto"/>
                          </w:divBdr>
                          <w:divsChild>
                            <w:div w:id="16554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73128">
      <w:bodyDiv w:val="1"/>
      <w:marLeft w:val="0"/>
      <w:marRight w:val="0"/>
      <w:marTop w:val="0"/>
      <w:marBottom w:val="0"/>
      <w:divBdr>
        <w:top w:val="none" w:sz="0" w:space="0" w:color="auto"/>
        <w:left w:val="none" w:sz="0" w:space="0" w:color="auto"/>
        <w:bottom w:val="none" w:sz="0" w:space="0" w:color="auto"/>
        <w:right w:val="none" w:sz="0" w:space="0" w:color="auto"/>
      </w:divBdr>
      <w:divsChild>
        <w:div w:id="1830514708">
          <w:marLeft w:val="0"/>
          <w:marRight w:val="0"/>
          <w:marTop w:val="0"/>
          <w:marBottom w:val="0"/>
          <w:divBdr>
            <w:top w:val="none" w:sz="0" w:space="0" w:color="auto"/>
            <w:left w:val="none" w:sz="0" w:space="0" w:color="auto"/>
            <w:bottom w:val="none" w:sz="0" w:space="0" w:color="auto"/>
            <w:right w:val="none" w:sz="0" w:space="0" w:color="auto"/>
          </w:divBdr>
          <w:divsChild>
            <w:div w:id="1656376128">
              <w:marLeft w:val="0"/>
              <w:marRight w:val="0"/>
              <w:marTop w:val="0"/>
              <w:marBottom w:val="0"/>
              <w:divBdr>
                <w:top w:val="none" w:sz="0" w:space="0" w:color="auto"/>
                <w:left w:val="none" w:sz="0" w:space="0" w:color="auto"/>
                <w:bottom w:val="none" w:sz="0" w:space="0" w:color="auto"/>
                <w:right w:val="none" w:sz="0" w:space="0" w:color="auto"/>
              </w:divBdr>
              <w:divsChild>
                <w:div w:id="186218607">
                  <w:marLeft w:val="0"/>
                  <w:marRight w:val="0"/>
                  <w:marTop w:val="0"/>
                  <w:marBottom w:val="0"/>
                  <w:divBdr>
                    <w:top w:val="none" w:sz="0" w:space="0" w:color="auto"/>
                    <w:left w:val="none" w:sz="0" w:space="0" w:color="auto"/>
                    <w:bottom w:val="none" w:sz="0" w:space="0" w:color="auto"/>
                    <w:right w:val="none" w:sz="0" w:space="0" w:color="auto"/>
                  </w:divBdr>
                  <w:divsChild>
                    <w:div w:id="7800999">
                      <w:marLeft w:val="0"/>
                      <w:marRight w:val="0"/>
                      <w:marTop w:val="0"/>
                      <w:marBottom w:val="0"/>
                      <w:divBdr>
                        <w:top w:val="none" w:sz="0" w:space="0" w:color="auto"/>
                        <w:left w:val="none" w:sz="0" w:space="0" w:color="auto"/>
                        <w:bottom w:val="none" w:sz="0" w:space="0" w:color="auto"/>
                        <w:right w:val="none" w:sz="0" w:space="0" w:color="auto"/>
                      </w:divBdr>
                      <w:divsChild>
                        <w:div w:id="1116678297">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sChild>
            </w:div>
          </w:divsChild>
        </w:div>
      </w:divsChild>
    </w:div>
    <w:div w:id="1881085263">
      <w:bodyDiv w:val="1"/>
      <w:marLeft w:val="0"/>
      <w:marRight w:val="0"/>
      <w:marTop w:val="0"/>
      <w:marBottom w:val="0"/>
      <w:divBdr>
        <w:top w:val="none" w:sz="0" w:space="0" w:color="auto"/>
        <w:left w:val="none" w:sz="0" w:space="0" w:color="auto"/>
        <w:bottom w:val="none" w:sz="0" w:space="0" w:color="auto"/>
        <w:right w:val="none" w:sz="0" w:space="0" w:color="auto"/>
      </w:divBdr>
      <w:divsChild>
        <w:div w:id="161818536">
          <w:marLeft w:val="0"/>
          <w:marRight w:val="0"/>
          <w:marTop w:val="0"/>
          <w:marBottom w:val="0"/>
          <w:divBdr>
            <w:top w:val="none" w:sz="0" w:space="0" w:color="auto"/>
            <w:left w:val="none" w:sz="0" w:space="0" w:color="auto"/>
            <w:bottom w:val="none" w:sz="0" w:space="0" w:color="auto"/>
            <w:right w:val="none" w:sz="0" w:space="0" w:color="auto"/>
          </w:divBdr>
          <w:divsChild>
            <w:div w:id="1703095322">
              <w:marLeft w:val="0"/>
              <w:marRight w:val="0"/>
              <w:marTop w:val="0"/>
              <w:marBottom w:val="0"/>
              <w:divBdr>
                <w:top w:val="none" w:sz="0" w:space="0" w:color="auto"/>
                <w:left w:val="none" w:sz="0" w:space="0" w:color="auto"/>
                <w:bottom w:val="none" w:sz="0" w:space="0" w:color="auto"/>
                <w:right w:val="none" w:sz="0" w:space="0" w:color="auto"/>
              </w:divBdr>
              <w:divsChild>
                <w:div w:id="70347529">
                  <w:marLeft w:val="0"/>
                  <w:marRight w:val="0"/>
                  <w:marTop w:val="0"/>
                  <w:marBottom w:val="0"/>
                  <w:divBdr>
                    <w:top w:val="none" w:sz="0" w:space="0" w:color="auto"/>
                    <w:left w:val="none" w:sz="0" w:space="0" w:color="auto"/>
                    <w:bottom w:val="none" w:sz="0" w:space="0" w:color="auto"/>
                    <w:right w:val="none" w:sz="0" w:space="0" w:color="auto"/>
                  </w:divBdr>
                  <w:divsChild>
                    <w:div w:id="1765956408">
                      <w:marLeft w:val="0"/>
                      <w:marRight w:val="0"/>
                      <w:marTop w:val="0"/>
                      <w:marBottom w:val="0"/>
                      <w:divBdr>
                        <w:top w:val="none" w:sz="0" w:space="0" w:color="auto"/>
                        <w:left w:val="none" w:sz="0" w:space="0" w:color="auto"/>
                        <w:bottom w:val="none" w:sz="0" w:space="0" w:color="auto"/>
                        <w:right w:val="none" w:sz="0" w:space="0" w:color="auto"/>
                      </w:divBdr>
                      <w:divsChild>
                        <w:div w:id="2062439302">
                          <w:marLeft w:val="0"/>
                          <w:marRight w:val="0"/>
                          <w:marTop w:val="0"/>
                          <w:marBottom w:val="0"/>
                          <w:divBdr>
                            <w:top w:val="dotted" w:sz="12" w:space="6" w:color="000000"/>
                            <w:left w:val="none" w:sz="0" w:space="0" w:color="auto"/>
                            <w:bottom w:val="none" w:sz="0" w:space="0" w:color="auto"/>
                            <w:right w:val="none" w:sz="0" w:space="0" w:color="auto"/>
                          </w:divBdr>
                          <w:divsChild>
                            <w:div w:id="1650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ess.lib.uts.edu.au/ojs/index.php/ijcre/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ress.lib.uts.edu.au/ojs/index.php/ijcr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Northmore@brighton.ac.uk" TargetMode="External"/><Relationship Id="rId5" Type="http://schemas.openxmlformats.org/officeDocument/2006/relationships/footnotes" Target="footnotes.xml"/><Relationship Id="rId10" Type="http://schemas.openxmlformats.org/officeDocument/2006/relationships/hyperlink" Target="http://epress.lib.uts.edu.au/ojs/index.php/ijcre/user/register" TargetMode="External"/><Relationship Id="rId4" Type="http://schemas.openxmlformats.org/officeDocument/2006/relationships/webSettings" Target="webSettings.xml"/><Relationship Id="rId9" Type="http://schemas.openxmlformats.org/officeDocument/2006/relationships/hyperlink" Target="http://epress.lib.uts.edu.au/ojs/index.php/ijcre/about/submiss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ighton.ac.uk/cu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srn10</dc:creator>
  <cp:keywords/>
  <dc:description/>
  <cp:lastModifiedBy>Simon Northmore</cp:lastModifiedBy>
  <cp:revision>10</cp:revision>
  <dcterms:created xsi:type="dcterms:W3CDTF">2010-07-02T14:46:00Z</dcterms:created>
  <dcterms:modified xsi:type="dcterms:W3CDTF">2010-07-20T13:46:00Z</dcterms:modified>
</cp:coreProperties>
</file>